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BE430" w14:textId="3DABC0FD" w:rsidR="008B5D7B" w:rsidRDefault="00D529A5" w:rsidP="00BD446C">
      <w:pPr>
        <w:spacing w:after="60" w:line="276" w:lineRule="auto"/>
        <w:jc w:val="center"/>
        <w:rPr>
          <w:rFonts w:ascii="Times New Roman" w:hAnsi="Times New Roman"/>
          <w:b/>
          <w:bCs/>
          <w:sz w:val="24"/>
          <w:szCs w:val="24"/>
        </w:rPr>
      </w:pPr>
      <w:r>
        <w:rPr>
          <w:rFonts w:ascii="Times New Roman" w:hAnsi="Times New Roman"/>
          <w:b/>
          <w:bCs/>
          <w:sz w:val="24"/>
          <w:szCs w:val="24"/>
        </w:rPr>
        <w:t xml:space="preserve">DISEGNO DI LEGGE ANNUALE PER IL MERCATO E LA CONCORRENZA </w:t>
      </w:r>
      <w:r w:rsidR="008B5D7B">
        <w:rPr>
          <w:rFonts w:ascii="Times New Roman" w:hAnsi="Times New Roman"/>
          <w:b/>
          <w:bCs/>
          <w:sz w:val="24"/>
          <w:szCs w:val="24"/>
        </w:rPr>
        <w:t>2025</w:t>
      </w:r>
    </w:p>
    <w:p w14:paraId="4AE08404" w14:textId="77777777" w:rsidR="008B5D7B" w:rsidRDefault="008B5D7B" w:rsidP="00BD446C">
      <w:pPr>
        <w:spacing w:after="60" w:line="276" w:lineRule="auto"/>
        <w:jc w:val="center"/>
        <w:rPr>
          <w:rFonts w:ascii="Times New Roman" w:hAnsi="Times New Roman"/>
          <w:b/>
          <w:bCs/>
          <w:sz w:val="24"/>
          <w:szCs w:val="24"/>
        </w:rPr>
      </w:pPr>
    </w:p>
    <w:p w14:paraId="46239A17" w14:textId="009E1035" w:rsidR="00A01A72" w:rsidRDefault="00A01A72" w:rsidP="00BD446C">
      <w:pPr>
        <w:spacing w:after="60" w:line="276" w:lineRule="auto"/>
        <w:jc w:val="center"/>
        <w:rPr>
          <w:rFonts w:ascii="Times New Roman" w:hAnsi="Times New Roman"/>
          <w:b/>
          <w:bCs/>
          <w:sz w:val="24"/>
          <w:szCs w:val="24"/>
        </w:rPr>
      </w:pPr>
      <w:r>
        <w:rPr>
          <w:rFonts w:ascii="Times New Roman" w:hAnsi="Times New Roman"/>
          <w:b/>
          <w:bCs/>
          <w:sz w:val="24"/>
          <w:szCs w:val="24"/>
        </w:rPr>
        <w:t>RELAZIONE ILLUSTRATIVA</w:t>
      </w:r>
    </w:p>
    <w:p w14:paraId="572E5636" w14:textId="77777777" w:rsidR="00D529A5" w:rsidRDefault="00D529A5" w:rsidP="00746C3F">
      <w:pPr>
        <w:spacing w:after="60" w:line="276" w:lineRule="auto"/>
        <w:jc w:val="center"/>
        <w:rPr>
          <w:rFonts w:ascii="Times New Roman" w:hAnsi="Times New Roman"/>
          <w:b/>
          <w:bCs/>
          <w:sz w:val="24"/>
          <w:szCs w:val="24"/>
        </w:rPr>
      </w:pPr>
    </w:p>
    <w:p w14:paraId="7759FB53" w14:textId="77777777" w:rsidR="00BD7DC6" w:rsidRDefault="00BD7DC6" w:rsidP="00BD7DC6">
      <w:pPr>
        <w:spacing w:after="60" w:line="276" w:lineRule="auto"/>
        <w:jc w:val="both"/>
        <w:rPr>
          <w:rFonts w:ascii="Times New Roman" w:hAnsi="Times New Roman"/>
          <w:sz w:val="24"/>
          <w:szCs w:val="24"/>
        </w:rPr>
      </w:pPr>
      <w:r w:rsidRPr="00206B4E">
        <w:rPr>
          <w:rFonts w:ascii="Times New Roman" w:hAnsi="Times New Roman"/>
          <w:sz w:val="24"/>
          <w:szCs w:val="24"/>
        </w:rPr>
        <w:t>L’art. 47, comma 1, della legge 23 luglio 2009, n. 99, richiede al Governo di sottoporre ogni anno alle Camere un disegno di legge finalizzato a “rimuovere gli ostacoli regolatori, di carattere normativo e amministrativo, all’apertura dei mercati, di promuovere lo sviluppo della concorrenza e di garantire la tutela dei consumatori”.</w:t>
      </w:r>
    </w:p>
    <w:p w14:paraId="684D4988" w14:textId="6C339DAA" w:rsidR="008B5D7B" w:rsidRDefault="008B5D7B" w:rsidP="00D34E2A">
      <w:pPr>
        <w:spacing w:after="60" w:line="276" w:lineRule="auto"/>
        <w:jc w:val="both"/>
        <w:rPr>
          <w:rFonts w:ascii="Times New Roman" w:hAnsi="Times New Roman"/>
          <w:sz w:val="24"/>
          <w:szCs w:val="24"/>
        </w:rPr>
      </w:pPr>
      <w:r>
        <w:rPr>
          <w:rFonts w:ascii="Times New Roman" w:hAnsi="Times New Roman"/>
          <w:sz w:val="24"/>
          <w:szCs w:val="24"/>
        </w:rPr>
        <w:t xml:space="preserve">Con il </w:t>
      </w:r>
      <w:r w:rsidR="00D34E2A" w:rsidRPr="00206B4E">
        <w:rPr>
          <w:rFonts w:ascii="Times New Roman" w:hAnsi="Times New Roman"/>
          <w:sz w:val="24"/>
          <w:szCs w:val="24"/>
        </w:rPr>
        <w:t>disegno di legge</w:t>
      </w:r>
      <w:r w:rsidR="00D34E2A">
        <w:rPr>
          <w:rFonts w:ascii="Times New Roman" w:hAnsi="Times New Roman"/>
          <w:sz w:val="24"/>
          <w:szCs w:val="24"/>
        </w:rPr>
        <w:t xml:space="preserve"> in esame</w:t>
      </w:r>
      <w:r w:rsidR="009E62E3">
        <w:rPr>
          <w:rFonts w:ascii="Times New Roman" w:hAnsi="Times New Roman"/>
          <w:sz w:val="24"/>
          <w:szCs w:val="24"/>
        </w:rPr>
        <w:t xml:space="preserve"> </w:t>
      </w:r>
      <w:r w:rsidR="00D34E2A">
        <w:rPr>
          <w:rFonts w:ascii="Times New Roman" w:hAnsi="Times New Roman"/>
          <w:sz w:val="24"/>
          <w:szCs w:val="24"/>
        </w:rPr>
        <w:t xml:space="preserve">viene dato seguito </w:t>
      </w:r>
      <w:r>
        <w:rPr>
          <w:rFonts w:ascii="Times New Roman" w:hAnsi="Times New Roman"/>
          <w:sz w:val="24"/>
          <w:szCs w:val="24"/>
        </w:rPr>
        <w:t>ad un percorso virtuoso di approvazione annuale del</w:t>
      </w:r>
      <w:r w:rsidR="00D33561">
        <w:rPr>
          <w:rFonts w:ascii="Times New Roman" w:hAnsi="Times New Roman"/>
          <w:sz w:val="24"/>
          <w:szCs w:val="24"/>
        </w:rPr>
        <w:t xml:space="preserve">la legge per </w:t>
      </w:r>
      <w:r>
        <w:rPr>
          <w:rFonts w:ascii="Times New Roman" w:hAnsi="Times New Roman"/>
          <w:sz w:val="24"/>
          <w:szCs w:val="24"/>
        </w:rPr>
        <w:t>il mercato e la concorrenza</w:t>
      </w:r>
      <w:r w:rsidR="00B67EBA">
        <w:rPr>
          <w:rFonts w:ascii="Times New Roman" w:hAnsi="Times New Roman"/>
          <w:sz w:val="24"/>
          <w:szCs w:val="24"/>
        </w:rPr>
        <w:t xml:space="preserve"> avviato con la </w:t>
      </w:r>
      <w:r w:rsidR="00D34E2A" w:rsidRPr="00206B4E">
        <w:rPr>
          <w:rFonts w:ascii="Times New Roman" w:hAnsi="Times New Roman"/>
          <w:sz w:val="24"/>
          <w:szCs w:val="24"/>
        </w:rPr>
        <w:t>legge 5 agosto 2022, n.118</w:t>
      </w:r>
      <w:r>
        <w:rPr>
          <w:rFonts w:ascii="Times New Roman" w:hAnsi="Times New Roman"/>
          <w:sz w:val="24"/>
          <w:szCs w:val="24"/>
        </w:rPr>
        <w:t xml:space="preserve">; </w:t>
      </w:r>
      <w:r w:rsidR="00B67EBA">
        <w:rPr>
          <w:rFonts w:ascii="Times New Roman" w:hAnsi="Times New Roman"/>
          <w:sz w:val="24"/>
          <w:szCs w:val="24"/>
        </w:rPr>
        <w:t xml:space="preserve">proseguito con </w:t>
      </w:r>
      <w:r>
        <w:rPr>
          <w:rFonts w:ascii="Times New Roman" w:hAnsi="Times New Roman"/>
          <w:sz w:val="24"/>
          <w:szCs w:val="24"/>
        </w:rPr>
        <w:t xml:space="preserve">la </w:t>
      </w:r>
      <w:r w:rsidR="00D34E2A" w:rsidRPr="00206B4E">
        <w:rPr>
          <w:rFonts w:ascii="Times New Roman" w:hAnsi="Times New Roman"/>
          <w:sz w:val="24"/>
          <w:szCs w:val="24"/>
        </w:rPr>
        <w:t>legge 30 dicembre 2023, n. 214</w:t>
      </w:r>
      <w:r>
        <w:rPr>
          <w:rFonts w:ascii="Times New Roman" w:hAnsi="Times New Roman"/>
          <w:sz w:val="24"/>
          <w:szCs w:val="24"/>
        </w:rPr>
        <w:t xml:space="preserve"> e, da ultimo,</w:t>
      </w:r>
      <w:r w:rsidR="00B67EBA">
        <w:rPr>
          <w:rFonts w:ascii="Times New Roman" w:hAnsi="Times New Roman"/>
          <w:sz w:val="24"/>
          <w:szCs w:val="24"/>
        </w:rPr>
        <w:t xml:space="preserve"> completato con </w:t>
      </w:r>
      <w:r>
        <w:rPr>
          <w:rFonts w:ascii="Times New Roman" w:hAnsi="Times New Roman"/>
          <w:sz w:val="24"/>
          <w:szCs w:val="24"/>
        </w:rPr>
        <w:t xml:space="preserve">la </w:t>
      </w:r>
      <w:r w:rsidR="00D34E2A" w:rsidRPr="00206B4E">
        <w:rPr>
          <w:rFonts w:ascii="Times New Roman" w:hAnsi="Times New Roman"/>
          <w:sz w:val="24"/>
          <w:szCs w:val="24"/>
        </w:rPr>
        <w:t>legge 16 dicembre 2024, n. 193</w:t>
      </w:r>
      <w:r>
        <w:rPr>
          <w:rFonts w:ascii="Times New Roman" w:hAnsi="Times New Roman"/>
          <w:sz w:val="24"/>
          <w:szCs w:val="24"/>
        </w:rPr>
        <w:t>.</w:t>
      </w:r>
    </w:p>
    <w:p w14:paraId="4C15B654" w14:textId="0D45CA05" w:rsidR="00D34E2A" w:rsidRPr="00206B4E" w:rsidRDefault="00B67EBA" w:rsidP="00D34E2A">
      <w:pPr>
        <w:spacing w:after="60" w:line="276" w:lineRule="auto"/>
        <w:jc w:val="both"/>
        <w:rPr>
          <w:rFonts w:ascii="Times New Roman" w:hAnsi="Times New Roman"/>
          <w:sz w:val="24"/>
          <w:szCs w:val="24"/>
        </w:rPr>
      </w:pPr>
      <w:r>
        <w:rPr>
          <w:rFonts w:ascii="Times New Roman" w:hAnsi="Times New Roman"/>
          <w:sz w:val="24"/>
          <w:szCs w:val="24"/>
        </w:rPr>
        <w:t xml:space="preserve">Il disegno di legge </w:t>
      </w:r>
      <w:r w:rsidR="008B5D7B">
        <w:rPr>
          <w:rFonts w:ascii="Times New Roman" w:hAnsi="Times New Roman"/>
          <w:sz w:val="24"/>
          <w:szCs w:val="24"/>
        </w:rPr>
        <w:t xml:space="preserve">in esame </w:t>
      </w:r>
      <w:r w:rsidR="00D34E2A" w:rsidRPr="00206B4E">
        <w:rPr>
          <w:rFonts w:ascii="Times New Roman" w:hAnsi="Times New Roman"/>
          <w:sz w:val="24"/>
          <w:szCs w:val="24"/>
        </w:rPr>
        <w:t xml:space="preserve">rientra tra gli impegni assunti dallo Stato italiano al cui rispetto </w:t>
      </w:r>
      <w:r w:rsidR="008B5D7B">
        <w:rPr>
          <w:rFonts w:ascii="Times New Roman" w:hAnsi="Times New Roman"/>
          <w:sz w:val="24"/>
          <w:szCs w:val="24"/>
        </w:rPr>
        <w:t>è</w:t>
      </w:r>
      <w:r w:rsidR="00D34E2A" w:rsidRPr="00206B4E">
        <w:rPr>
          <w:rFonts w:ascii="Times New Roman" w:hAnsi="Times New Roman"/>
          <w:sz w:val="24"/>
          <w:szCs w:val="24"/>
        </w:rPr>
        <w:t xml:space="preserve"> subordinato lo stanziamento dei fondi previsti nell’ambito </w:t>
      </w:r>
      <w:r>
        <w:rPr>
          <w:rFonts w:ascii="Times New Roman" w:hAnsi="Times New Roman"/>
          <w:sz w:val="24"/>
          <w:szCs w:val="24"/>
        </w:rPr>
        <w:t>del</w:t>
      </w:r>
      <w:r w:rsidR="00D34E2A" w:rsidRPr="00206B4E">
        <w:rPr>
          <w:rFonts w:ascii="Times New Roman" w:hAnsi="Times New Roman"/>
          <w:sz w:val="24"/>
          <w:szCs w:val="24"/>
        </w:rPr>
        <w:t xml:space="preserve"> PNRR (si veda pag. 75 del medesimo Piano e pag. 127 dell’allegato della proposta di decisione di esecuzione del Consiglio del 12 novembre 2024 - M1C2-13, contenente le puntuali modifiche al PNRR italiano). </w:t>
      </w:r>
    </w:p>
    <w:p w14:paraId="1AD1A88E" w14:textId="30A3C727" w:rsidR="009E62E3" w:rsidRDefault="009E62E3" w:rsidP="00D34E2A">
      <w:pPr>
        <w:spacing w:after="60" w:line="276" w:lineRule="auto"/>
        <w:jc w:val="both"/>
        <w:rPr>
          <w:rFonts w:ascii="Times New Roman" w:hAnsi="Times New Roman"/>
          <w:sz w:val="24"/>
          <w:szCs w:val="24"/>
        </w:rPr>
      </w:pPr>
      <w:r>
        <w:rPr>
          <w:rFonts w:ascii="Times New Roman" w:hAnsi="Times New Roman"/>
          <w:sz w:val="24"/>
          <w:szCs w:val="24"/>
        </w:rPr>
        <w:t>Nella predisposizione dell</w:t>
      </w:r>
      <w:r w:rsidR="00B67EBA">
        <w:rPr>
          <w:rFonts w:ascii="Times New Roman" w:hAnsi="Times New Roman"/>
          <w:sz w:val="24"/>
          <w:szCs w:val="24"/>
        </w:rPr>
        <w:t xml:space="preserve">’articolato </w:t>
      </w:r>
      <w:r>
        <w:rPr>
          <w:rFonts w:ascii="Times New Roman" w:hAnsi="Times New Roman"/>
          <w:sz w:val="24"/>
          <w:szCs w:val="24"/>
        </w:rPr>
        <w:t>si è tenuto conto</w:t>
      </w:r>
      <w:r w:rsidR="008B5D7B">
        <w:rPr>
          <w:rFonts w:ascii="Times New Roman" w:hAnsi="Times New Roman"/>
          <w:sz w:val="24"/>
          <w:szCs w:val="24"/>
        </w:rPr>
        <w:t xml:space="preserve"> degli obiettivi previsti dalla CID, nonché della segnalazione al Governo dell’</w:t>
      </w:r>
      <w:r w:rsidR="008B5D7B" w:rsidRPr="008B5D7B">
        <w:rPr>
          <w:rFonts w:ascii="Times New Roman" w:hAnsi="Times New Roman"/>
          <w:sz w:val="24"/>
          <w:szCs w:val="24"/>
        </w:rPr>
        <w:t>Autorità Garante della Concorrenza e del Mercato</w:t>
      </w:r>
      <w:r w:rsidR="008B5D7B">
        <w:rPr>
          <w:rFonts w:ascii="Times New Roman" w:hAnsi="Times New Roman"/>
          <w:sz w:val="24"/>
          <w:szCs w:val="24"/>
        </w:rPr>
        <w:t xml:space="preserve"> deliberata il </w:t>
      </w:r>
      <w:r w:rsidR="008B5D7B" w:rsidRPr="008B5D7B">
        <w:rPr>
          <w:rFonts w:ascii="Times New Roman" w:hAnsi="Times New Roman"/>
          <w:sz w:val="24"/>
          <w:szCs w:val="24"/>
        </w:rPr>
        <w:t xml:space="preserve">17 dicembre 2024 in adempimento a quanto prescritto dall’articolo 47, comma 2, della legge </w:t>
      </w:r>
      <w:r w:rsidR="00B05154">
        <w:rPr>
          <w:rFonts w:ascii="Times New Roman" w:hAnsi="Times New Roman"/>
          <w:sz w:val="24"/>
          <w:szCs w:val="24"/>
        </w:rPr>
        <w:t xml:space="preserve">n. </w:t>
      </w:r>
      <w:r w:rsidR="008B5D7B" w:rsidRPr="008B5D7B">
        <w:rPr>
          <w:rFonts w:ascii="Times New Roman" w:hAnsi="Times New Roman"/>
          <w:sz w:val="24"/>
          <w:szCs w:val="24"/>
        </w:rPr>
        <w:t>99</w:t>
      </w:r>
      <w:r w:rsidR="00B05154">
        <w:rPr>
          <w:rFonts w:ascii="Times New Roman" w:hAnsi="Times New Roman"/>
          <w:sz w:val="24"/>
          <w:szCs w:val="24"/>
        </w:rPr>
        <w:t>/2009</w:t>
      </w:r>
      <w:r w:rsidR="008B5D7B">
        <w:rPr>
          <w:rFonts w:ascii="Times New Roman" w:hAnsi="Times New Roman"/>
          <w:sz w:val="24"/>
          <w:szCs w:val="24"/>
        </w:rPr>
        <w:t xml:space="preserve">. </w:t>
      </w:r>
    </w:p>
    <w:p w14:paraId="4B1AA8EA" w14:textId="783C0575" w:rsidR="00D34E2A" w:rsidRPr="00206B4E" w:rsidRDefault="00D34E2A" w:rsidP="00D34E2A">
      <w:pPr>
        <w:spacing w:after="60" w:line="276" w:lineRule="auto"/>
        <w:jc w:val="both"/>
        <w:rPr>
          <w:rFonts w:ascii="Times New Roman" w:hAnsi="Times New Roman"/>
          <w:sz w:val="24"/>
          <w:szCs w:val="24"/>
        </w:rPr>
      </w:pPr>
      <w:r w:rsidRPr="00206B4E">
        <w:rPr>
          <w:rFonts w:ascii="Times New Roman" w:hAnsi="Times New Roman"/>
          <w:sz w:val="24"/>
          <w:szCs w:val="24"/>
        </w:rPr>
        <w:t xml:space="preserve">Il disegno di legge </w:t>
      </w:r>
      <w:r>
        <w:rPr>
          <w:rFonts w:ascii="Times New Roman" w:hAnsi="Times New Roman"/>
          <w:sz w:val="24"/>
          <w:szCs w:val="24"/>
        </w:rPr>
        <w:t>si compone di III CAPI di seguito illustrati nel dettaglio.</w:t>
      </w:r>
    </w:p>
    <w:p w14:paraId="77DCFAA3" w14:textId="77777777" w:rsidR="008B5D7B" w:rsidRDefault="008B5D7B" w:rsidP="00D34E2A">
      <w:pPr>
        <w:spacing w:after="60" w:line="276" w:lineRule="auto"/>
        <w:jc w:val="both"/>
        <w:rPr>
          <w:rFonts w:ascii="Times New Roman" w:hAnsi="Times New Roman"/>
          <w:b/>
          <w:bCs/>
          <w:sz w:val="24"/>
          <w:szCs w:val="24"/>
        </w:rPr>
      </w:pPr>
    </w:p>
    <w:p w14:paraId="1455F6E1" w14:textId="76D8F2A8" w:rsidR="00D34E2A" w:rsidRPr="00206B4E" w:rsidRDefault="00D34E2A" w:rsidP="00D34E2A">
      <w:pPr>
        <w:spacing w:after="60" w:line="276" w:lineRule="auto"/>
        <w:jc w:val="both"/>
        <w:rPr>
          <w:rFonts w:ascii="Times New Roman" w:hAnsi="Times New Roman"/>
          <w:b/>
          <w:bCs/>
          <w:sz w:val="24"/>
          <w:szCs w:val="24"/>
        </w:rPr>
      </w:pPr>
      <w:r w:rsidRPr="00206B4E">
        <w:rPr>
          <w:rFonts w:ascii="Times New Roman" w:hAnsi="Times New Roman"/>
          <w:b/>
          <w:bCs/>
          <w:sz w:val="24"/>
          <w:szCs w:val="24"/>
        </w:rPr>
        <w:t xml:space="preserve">CAPO I - Disposizioni in materia di servizi pubblici locali </w:t>
      </w:r>
    </w:p>
    <w:p w14:paraId="40ECDF2B" w14:textId="546824D5" w:rsidR="00D34E2A" w:rsidRDefault="00D34E2A" w:rsidP="00CE41F9">
      <w:pPr>
        <w:spacing w:after="60" w:line="276" w:lineRule="auto"/>
        <w:jc w:val="both"/>
        <w:rPr>
          <w:rFonts w:ascii="Times New Roman" w:hAnsi="Times New Roman"/>
          <w:sz w:val="24"/>
          <w:szCs w:val="24"/>
        </w:rPr>
      </w:pPr>
      <w:r>
        <w:rPr>
          <w:rFonts w:ascii="Times New Roman" w:hAnsi="Times New Roman"/>
          <w:sz w:val="24"/>
          <w:szCs w:val="24"/>
        </w:rPr>
        <w:t xml:space="preserve">Il Capo </w:t>
      </w:r>
      <w:r w:rsidR="008B5D7B">
        <w:rPr>
          <w:rFonts w:ascii="Times New Roman" w:hAnsi="Times New Roman"/>
          <w:sz w:val="24"/>
          <w:szCs w:val="24"/>
        </w:rPr>
        <w:t xml:space="preserve">I </w:t>
      </w:r>
      <w:r>
        <w:rPr>
          <w:rFonts w:ascii="Times New Roman" w:hAnsi="Times New Roman"/>
          <w:sz w:val="24"/>
          <w:szCs w:val="24"/>
        </w:rPr>
        <w:t xml:space="preserve">contiene </w:t>
      </w:r>
      <w:r w:rsidR="00CE41F9">
        <w:rPr>
          <w:rFonts w:ascii="Times New Roman" w:hAnsi="Times New Roman"/>
          <w:sz w:val="24"/>
          <w:szCs w:val="24"/>
        </w:rPr>
        <w:t xml:space="preserve">interventi </w:t>
      </w:r>
      <w:r w:rsidR="00CE41F9" w:rsidRPr="00CE41F9">
        <w:rPr>
          <w:rFonts w:ascii="Times New Roman" w:hAnsi="Times New Roman"/>
          <w:sz w:val="24"/>
          <w:szCs w:val="24"/>
        </w:rPr>
        <w:t>finalizzati alla rimozione degli ostacoli alla concorrenza</w:t>
      </w:r>
      <w:r w:rsidR="00CE41F9">
        <w:rPr>
          <w:rFonts w:ascii="Times New Roman" w:hAnsi="Times New Roman"/>
          <w:sz w:val="24"/>
          <w:szCs w:val="24"/>
        </w:rPr>
        <w:t xml:space="preserve"> </w:t>
      </w:r>
      <w:r>
        <w:rPr>
          <w:rFonts w:ascii="Times New Roman" w:hAnsi="Times New Roman"/>
          <w:sz w:val="24"/>
          <w:szCs w:val="24"/>
        </w:rPr>
        <w:t>che</w:t>
      </w:r>
      <w:r w:rsidR="008B5D7B">
        <w:rPr>
          <w:rFonts w:ascii="Times New Roman" w:hAnsi="Times New Roman"/>
          <w:sz w:val="24"/>
          <w:szCs w:val="24"/>
        </w:rPr>
        <w:t xml:space="preserve"> si pongono in linea con i contenuti previsti dalla CID, nonché dalla </w:t>
      </w:r>
      <w:r>
        <w:rPr>
          <w:rFonts w:ascii="Times New Roman" w:hAnsi="Times New Roman"/>
          <w:sz w:val="24"/>
          <w:szCs w:val="24"/>
        </w:rPr>
        <w:t>segnalazione dell’AGCM</w:t>
      </w:r>
      <w:r w:rsidR="00CE41F9">
        <w:rPr>
          <w:rFonts w:ascii="Times New Roman" w:hAnsi="Times New Roman"/>
          <w:sz w:val="24"/>
          <w:szCs w:val="24"/>
        </w:rPr>
        <w:t>,</w:t>
      </w:r>
      <w:r w:rsidR="008B5D7B">
        <w:rPr>
          <w:rFonts w:ascii="Times New Roman" w:hAnsi="Times New Roman"/>
          <w:sz w:val="24"/>
          <w:szCs w:val="24"/>
        </w:rPr>
        <w:t xml:space="preserve"> con </w:t>
      </w:r>
      <w:r w:rsidR="002169FA">
        <w:rPr>
          <w:rFonts w:ascii="Times New Roman" w:hAnsi="Times New Roman"/>
          <w:sz w:val="24"/>
          <w:szCs w:val="24"/>
        </w:rPr>
        <w:t xml:space="preserve">specifico </w:t>
      </w:r>
      <w:r w:rsidR="008B5D7B">
        <w:rPr>
          <w:rFonts w:ascii="Times New Roman" w:hAnsi="Times New Roman"/>
          <w:sz w:val="24"/>
          <w:szCs w:val="24"/>
        </w:rPr>
        <w:t>riguardo a</w:t>
      </w:r>
      <w:r w:rsidR="002169FA">
        <w:rPr>
          <w:rFonts w:ascii="Times New Roman" w:hAnsi="Times New Roman"/>
          <w:sz w:val="24"/>
          <w:szCs w:val="24"/>
        </w:rPr>
        <w:t xml:space="preserve"> </w:t>
      </w:r>
      <w:r w:rsidR="002C7641">
        <w:rPr>
          <w:rFonts w:ascii="Times New Roman" w:hAnsi="Times New Roman"/>
          <w:sz w:val="24"/>
          <w:szCs w:val="24"/>
        </w:rPr>
        <w:t xml:space="preserve">due </w:t>
      </w:r>
      <w:r w:rsidR="00CE41F9">
        <w:rPr>
          <w:rFonts w:ascii="Times New Roman" w:hAnsi="Times New Roman"/>
          <w:sz w:val="24"/>
          <w:szCs w:val="24"/>
        </w:rPr>
        <w:t xml:space="preserve">settori </w:t>
      </w:r>
      <w:r w:rsidR="008B5D7B">
        <w:rPr>
          <w:rFonts w:ascii="Times New Roman" w:hAnsi="Times New Roman"/>
          <w:sz w:val="24"/>
          <w:szCs w:val="24"/>
        </w:rPr>
        <w:t>ritenut</w:t>
      </w:r>
      <w:r w:rsidR="00CE41F9">
        <w:rPr>
          <w:rFonts w:ascii="Times New Roman" w:hAnsi="Times New Roman"/>
          <w:sz w:val="24"/>
          <w:szCs w:val="24"/>
        </w:rPr>
        <w:t>i</w:t>
      </w:r>
      <w:r w:rsidR="008B5D7B">
        <w:rPr>
          <w:rFonts w:ascii="Times New Roman" w:hAnsi="Times New Roman"/>
          <w:sz w:val="24"/>
          <w:szCs w:val="24"/>
        </w:rPr>
        <w:t xml:space="preserve"> </w:t>
      </w:r>
      <w:r w:rsidR="008B5D7B" w:rsidRPr="008B5D7B">
        <w:rPr>
          <w:rFonts w:ascii="Times New Roman" w:hAnsi="Times New Roman"/>
          <w:sz w:val="24"/>
          <w:szCs w:val="24"/>
        </w:rPr>
        <w:t>prioritari per la crescita economica del Paese</w:t>
      </w:r>
      <w:r w:rsidR="008B5D7B">
        <w:rPr>
          <w:rFonts w:ascii="Times New Roman" w:hAnsi="Times New Roman"/>
          <w:sz w:val="24"/>
          <w:szCs w:val="24"/>
        </w:rPr>
        <w:t xml:space="preserve"> quali</w:t>
      </w:r>
      <w:r w:rsidR="00CE41F9">
        <w:rPr>
          <w:rFonts w:ascii="Times New Roman" w:hAnsi="Times New Roman"/>
          <w:sz w:val="24"/>
          <w:szCs w:val="24"/>
        </w:rPr>
        <w:t xml:space="preserve"> i</w:t>
      </w:r>
      <w:r w:rsidR="008B5D7B" w:rsidRPr="008B5D7B">
        <w:rPr>
          <w:rFonts w:ascii="Times New Roman" w:hAnsi="Times New Roman"/>
          <w:sz w:val="24"/>
          <w:szCs w:val="24"/>
        </w:rPr>
        <w:t xml:space="preserve"> servizi pubblici locali</w:t>
      </w:r>
      <w:r w:rsidR="002C7641">
        <w:rPr>
          <w:rFonts w:ascii="Times New Roman" w:hAnsi="Times New Roman"/>
          <w:sz w:val="24"/>
          <w:szCs w:val="24"/>
        </w:rPr>
        <w:t xml:space="preserve"> e </w:t>
      </w:r>
      <w:r w:rsidR="00CE41F9">
        <w:rPr>
          <w:rFonts w:ascii="Times New Roman" w:hAnsi="Times New Roman"/>
          <w:sz w:val="24"/>
          <w:szCs w:val="24"/>
        </w:rPr>
        <w:t>la mobilità elettrica</w:t>
      </w:r>
      <w:r w:rsidR="008B5D7B" w:rsidRPr="008B5D7B">
        <w:rPr>
          <w:rFonts w:ascii="Times New Roman" w:hAnsi="Times New Roman"/>
          <w:sz w:val="24"/>
          <w:szCs w:val="24"/>
        </w:rPr>
        <w:t>.</w:t>
      </w:r>
    </w:p>
    <w:p w14:paraId="699EEB3F" w14:textId="3A59EF66" w:rsidR="00BF2674" w:rsidRDefault="00C10237" w:rsidP="00746C3F">
      <w:pPr>
        <w:spacing w:after="60" w:line="276" w:lineRule="auto"/>
        <w:jc w:val="both"/>
        <w:rPr>
          <w:rFonts w:ascii="Times New Roman" w:hAnsi="Times New Roman"/>
          <w:sz w:val="24"/>
          <w:szCs w:val="24"/>
        </w:rPr>
      </w:pPr>
      <w:r w:rsidRPr="00206B4E">
        <w:rPr>
          <w:rFonts w:ascii="Times New Roman" w:hAnsi="Times New Roman"/>
          <w:b/>
          <w:bCs/>
          <w:sz w:val="24"/>
          <w:szCs w:val="24"/>
        </w:rPr>
        <w:t>L’art</w:t>
      </w:r>
      <w:r w:rsidR="000D6B7C" w:rsidRPr="00206B4E">
        <w:rPr>
          <w:rFonts w:ascii="Times New Roman" w:hAnsi="Times New Roman"/>
          <w:b/>
          <w:bCs/>
          <w:sz w:val="24"/>
          <w:szCs w:val="24"/>
        </w:rPr>
        <w:t>icolo</w:t>
      </w:r>
      <w:r w:rsidRPr="00206B4E">
        <w:rPr>
          <w:rFonts w:ascii="Times New Roman" w:hAnsi="Times New Roman"/>
          <w:b/>
          <w:bCs/>
          <w:sz w:val="24"/>
          <w:szCs w:val="24"/>
        </w:rPr>
        <w:t xml:space="preserve"> </w:t>
      </w:r>
      <w:r w:rsidR="000D6B7C" w:rsidRPr="00206B4E">
        <w:rPr>
          <w:rFonts w:ascii="Times New Roman" w:hAnsi="Times New Roman"/>
          <w:b/>
          <w:bCs/>
          <w:sz w:val="24"/>
          <w:szCs w:val="24"/>
        </w:rPr>
        <w:t>1</w:t>
      </w:r>
      <w:r w:rsidR="00CE41F9">
        <w:rPr>
          <w:rFonts w:ascii="Times New Roman" w:hAnsi="Times New Roman"/>
          <w:sz w:val="24"/>
          <w:szCs w:val="24"/>
        </w:rPr>
        <w:t>, nell’ambito dei</w:t>
      </w:r>
      <w:r w:rsidRPr="00206B4E">
        <w:rPr>
          <w:rFonts w:ascii="Times New Roman" w:hAnsi="Times New Roman"/>
          <w:sz w:val="24"/>
          <w:szCs w:val="24"/>
        </w:rPr>
        <w:t xml:space="preserve"> servizi pubblici locali</w:t>
      </w:r>
      <w:r w:rsidR="00CC1029" w:rsidRPr="00206B4E">
        <w:rPr>
          <w:rFonts w:ascii="Times New Roman" w:hAnsi="Times New Roman"/>
          <w:sz w:val="24"/>
          <w:szCs w:val="24"/>
        </w:rPr>
        <w:t xml:space="preserve">, </w:t>
      </w:r>
      <w:r w:rsidR="00CE41F9">
        <w:rPr>
          <w:rFonts w:ascii="Times New Roman" w:hAnsi="Times New Roman"/>
          <w:sz w:val="24"/>
          <w:szCs w:val="24"/>
        </w:rPr>
        <w:t xml:space="preserve">persegue l’obiettivo di </w:t>
      </w:r>
      <w:r w:rsidR="00CC1029" w:rsidRPr="00206B4E">
        <w:rPr>
          <w:rFonts w:ascii="Times New Roman" w:hAnsi="Times New Roman"/>
          <w:sz w:val="24"/>
          <w:szCs w:val="24"/>
        </w:rPr>
        <w:t>ra</w:t>
      </w:r>
      <w:r w:rsidR="00B5625E" w:rsidRPr="00206B4E">
        <w:rPr>
          <w:rFonts w:ascii="Times New Roman" w:hAnsi="Times New Roman"/>
          <w:sz w:val="24"/>
          <w:szCs w:val="24"/>
        </w:rPr>
        <w:t>fforzare la vigilanza e i controlli degli enti locali e degli altri enti competenti sulla gestione dei servizi</w:t>
      </w:r>
      <w:r w:rsidR="00C64FBD">
        <w:rPr>
          <w:rFonts w:ascii="Times New Roman" w:hAnsi="Times New Roman"/>
          <w:sz w:val="24"/>
          <w:szCs w:val="24"/>
        </w:rPr>
        <w:t xml:space="preserve"> pubblici locali</w:t>
      </w:r>
      <w:r w:rsidRPr="00206B4E">
        <w:rPr>
          <w:rFonts w:ascii="Times New Roman" w:hAnsi="Times New Roman"/>
          <w:sz w:val="24"/>
          <w:szCs w:val="24"/>
        </w:rPr>
        <w:t xml:space="preserve">. </w:t>
      </w:r>
    </w:p>
    <w:p w14:paraId="2C3CC1EA" w14:textId="3B773850" w:rsidR="00221391" w:rsidRPr="00206B4E" w:rsidRDefault="00B67EBA" w:rsidP="00746C3F">
      <w:pPr>
        <w:spacing w:after="60" w:line="276" w:lineRule="auto"/>
        <w:jc w:val="both"/>
        <w:rPr>
          <w:rFonts w:ascii="Times New Roman" w:hAnsi="Times New Roman"/>
          <w:sz w:val="24"/>
          <w:szCs w:val="24"/>
        </w:rPr>
      </w:pPr>
      <w:r>
        <w:rPr>
          <w:rFonts w:ascii="Times New Roman" w:hAnsi="Times New Roman"/>
          <w:sz w:val="24"/>
          <w:szCs w:val="24"/>
        </w:rPr>
        <w:t>Con l</w:t>
      </w:r>
      <w:r w:rsidR="00221391" w:rsidRPr="00206B4E">
        <w:rPr>
          <w:rFonts w:ascii="Times New Roman" w:hAnsi="Times New Roman"/>
          <w:sz w:val="24"/>
          <w:szCs w:val="24"/>
        </w:rPr>
        <w:t xml:space="preserve">’articolo 30 del </w:t>
      </w:r>
      <w:r w:rsidR="00FE45AA">
        <w:rPr>
          <w:rFonts w:ascii="Times New Roman" w:hAnsi="Times New Roman"/>
          <w:sz w:val="24"/>
          <w:szCs w:val="24"/>
        </w:rPr>
        <w:t>d</w:t>
      </w:r>
      <w:r w:rsidR="00221391" w:rsidRPr="00206B4E">
        <w:rPr>
          <w:rFonts w:ascii="Times New Roman" w:hAnsi="Times New Roman"/>
          <w:sz w:val="24"/>
          <w:szCs w:val="24"/>
        </w:rPr>
        <w:t xml:space="preserve">. </w:t>
      </w:r>
      <w:r w:rsidR="00FE45AA">
        <w:rPr>
          <w:rFonts w:ascii="Times New Roman" w:hAnsi="Times New Roman"/>
          <w:sz w:val="24"/>
          <w:szCs w:val="24"/>
        </w:rPr>
        <w:t>l</w:t>
      </w:r>
      <w:r w:rsidR="00221391" w:rsidRPr="00206B4E">
        <w:rPr>
          <w:rFonts w:ascii="Times New Roman" w:hAnsi="Times New Roman"/>
          <w:sz w:val="24"/>
          <w:szCs w:val="24"/>
        </w:rPr>
        <w:t xml:space="preserve">gs. </w:t>
      </w:r>
      <w:r w:rsidR="00FE45AA">
        <w:rPr>
          <w:rFonts w:ascii="Times New Roman" w:hAnsi="Times New Roman"/>
          <w:sz w:val="24"/>
          <w:szCs w:val="24"/>
        </w:rPr>
        <w:t xml:space="preserve">23 dicembre 2022, n. </w:t>
      </w:r>
      <w:r w:rsidR="00221391" w:rsidRPr="00206B4E">
        <w:rPr>
          <w:rFonts w:ascii="Times New Roman" w:hAnsi="Times New Roman"/>
          <w:sz w:val="24"/>
          <w:szCs w:val="24"/>
        </w:rPr>
        <w:t xml:space="preserve">201, recante il “Riordino della disciplina dei servizi pubblici locali di rilevanza economica”, è stato previsto che gli enti di maggiori dimensioni (i Comuni e le loro eventuali forme associative con popolazione superiore ai 5.000 abitanti, nonché le Città Metropolitane, le Province e gli altri enti competenti), </w:t>
      </w:r>
      <w:r w:rsidR="00F85E48" w:rsidRPr="00206B4E">
        <w:rPr>
          <w:rFonts w:ascii="Times New Roman" w:hAnsi="Times New Roman"/>
          <w:sz w:val="24"/>
          <w:szCs w:val="24"/>
        </w:rPr>
        <w:t xml:space="preserve">debbano effettuare, </w:t>
      </w:r>
      <w:r w:rsidR="00221391" w:rsidRPr="00206B4E">
        <w:rPr>
          <w:rFonts w:ascii="Times New Roman" w:hAnsi="Times New Roman"/>
          <w:sz w:val="24"/>
          <w:szCs w:val="24"/>
        </w:rPr>
        <w:t>in relazione al proprio ambito o bacino del servizio, la ricognizione periodica della situazione gestionale dei servizi pubblici locali di rilevanza economica. La ricognizione deve essere contenuta in un’apposita relazione.</w:t>
      </w:r>
      <w:r w:rsidR="00F55565">
        <w:rPr>
          <w:rFonts w:ascii="Times New Roman" w:hAnsi="Times New Roman"/>
          <w:sz w:val="24"/>
          <w:szCs w:val="24"/>
        </w:rPr>
        <w:t xml:space="preserve"> </w:t>
      </w:r>
    </w:p>
    <w:p w14:paraId="28D90E3A" w14:textId="7EAEA269" w:rsidR="005427A4" w:rsidRPr="00206B4E" w:rsidRDefault="00C17E06" w:rsidP="00746C3F">
      <w:pPr>
        <w:spacing w:after="60" w:line="276" w:lineRule="auto"/>
        <w:jc w:val="both"/>
        <w:rPr>
          <w:rFonts w:ascii="Times New Roman" w:hAnsi="Times New Roman"/>
          <w:sz w:val="24"/>
          <w:szCs w:val="24"/>
        </w:rPr>
      </w:pPr>
      <w:r w:rsidRPr="00206B4E">
        <w:rPr>
          <w:rFonts w:ascii="Times New Roman" w:hAnsi="Times New Roman"/>
          <w:sz w:val="24"/>
          <w:szCs w:val="24"/>
        </w:rPr>
        <w:t>Nello specifico, a</w:t>
      </w:r>
      <w:r w:rsidR="005427A4" w:rsidRPr="00206B4E">
        <w:rPr>
          <w:rFonts w:ascii="Times New Roman" w:hAnsi="Times New Roman"/>
          <w:sz w:val="24"/>
          <w:szCs w:val="24"/>
        </w:rPr>
        <w:t xml:space="preserve"> legislazione vigente, l’ente pubblico competente è tenuto a rilevare, per ogni servizio affidato, il concreto andamento in relazione a ogni elemento previsto dal</w:t>
      </w:r>
      <w:r w:rsidR="0041424D">
        <w:rPr>
          <w:rFonts w:ascii="Times New Roman" w:hAnsi="Times New Roman"/>
          <w:sz w:val="24"/>
          <w:szCs w:val="24"/>
        </w:rPr>
        <w:t xml:space="preserve"> </w:t>
      </w:r>
      <w:proofErr w:type="spellStart"/>
      <w:r w:rsidR="0041424D">
        <w:rPr>
          <w:rFonts w:ascii="Times New Roman" w:hAnsi="Times New Roman"/>
          <w:sz w:val="24"/>
          <w:szCs w:val="24"/>
        </w:rPr>
        <w:t>meesimo</w:t>
      </w:r>
      <w:proofErr w:type="spellEnd"/>
      <w:r w:rsidR="0041424D">
        <w:rPr>
          <w:rFonts w:ascii="Times New Roman" w:hAnsi="Times New Roman"/>
          <w:sz w:val="24"/>
          <w:szCs w:val="24"/>
        </w:rPr>
        <w:t xml:space="preserve"> </w:t>
      </w:r>
      <w:r w:rsidR="005427A4" w:rsidRPr="00206B4E">
        <w:rPr>
          <w:rFonts w:ascii="Times New Roman" w:hAnsi="Times New Roman"/>
          <w:sz w:val="24"/>
          <w:szCs w:val="24"/>
        </w:rPr>
        <w:t>articolo 30. Tale disposizione</w:t>
      </w:r>
      <w:r w:rsidR="00566782" w:rsidRPr="00206B4E">
        <w:rPr>
          <w:rFonts w:ascii="Times New Roman" w:hAnsi="Times New Roman"/>
          <w:sz w:val="24"/>
          <w:szCs w:val="24"/>
        </w:rPr>
        <w:t>, tuttavia,</w:t>
      </w:r>
      <w:r w:rsidR="005427A4" w:rsidRPr="00206B4E">
        <w:rPr>
          <w:rFonts w:ascii="Times New Roman" w:hAnsi="Times New Roman"/>
          <w:sz w:val="24"/>
          <w:szCs w:val="24"/>
        </w:rPr>
        <w:t xml:space="preserve"> non contempla </w:t>
      </w:r>
      <w:r w:rsidR="00FF5497" w:rsidRPr="00206B4E">
        <w:rPr>
          <w:rFonts w:ascii="Times New Roman" w:hAnsi="Times New Roman"/>
          <w:sz w:val="24"/>
          <w:szCs w:val="24"/>
        </w:rPr>
        <w:t>conseguenze per</w:t>
      </w:r>
      <w:r w:rsidR="00440589" w:rsidRPr="00206B4E">
        <w:rPr>
          <w:rFonts w:ascii="Times New Roman" w:hAnsi="Times New Roman"/>
          <w:sz w:val="24"/>
          <w:szCs w:val="24"/>
        </w:rPr>
        <w:t xml:space="preserve"> l’ipotesi</w:t>
      </w:r>
      <w:r w:rsidR="005427A4" w:rsidRPr="00206B4E">
        <w:rPr>
          <w:rFonts w:ascii="Times New Roman" w:hAnsi="Times New Roman"/>
          <w:sz w:val="24"/>
          <w:szCs w:val="24"/>
        </w:rPr>
        <w:t xml:space="preserve"> in cui l’ente manchi di fornire informazioni relative a uno o più degli elementi indicati dalla norma, né richiede espressamente all’ente di trarre considerazioni conclusive sulla situazione gestionale (in senso positivo o negativo).</w:t>
      </w:r>
    </w:p>
    <w:p w14:paraId="75D95DFC" w14:textId="0C998976" w:rsidR="00AD47AE" w:rsidRPr="00206B4E" w:rsidRDefault="005427A4" w:rsidP="00746C3F">
      <w:pPr>
        <w:spacing w:after="60" w:line="276" w:lineRule="auto"/>
        <w:jc w:val="both"/>
        <w:rPr>
          <w:rFonts w:ascii="Times New Roman" w:hAnsi="Times New Roman"/>
          <w:sz w:val="24"/>
          <w:szCs w:val="24"/>
        </w:rPr>
      </w:pPr>
      <w:r w:rsidRPr="00206B4E">
        <w:rPr>
          <w:rFonts w:ascii="Times New Roman" w:hAnsi="Times New Roman"/>
          <w:sz w:val="24"/>
          <w:szCs w:val="24"/>
        </w:rPr>
        <w:t xml:space="preserve">Anche per quanto riguarda le gestioni </w:t>
      </w:r>
      <w:r w:rsidRPr="00206B4E">
        <w:rPr>
          <w:rFonts w:ascii="Times New Roman" w:hAnsi="Times New Roman"/>
          <w:i/>
          <w:iCs/>
          <w:sz w:val="24"/>
          <w:szCs w:val="24"/>
        </w:rPr>
        <w:t>in house</w:t>
      </w:r>
      <w:r w:rsidR="00B67EBA">
        <w:rPr>
          <w:rFonts w:ascii="Times New Roman" w:hAnsi="Times New Roman"/>
          <w:sz w:val="24"/>
          <w:szCs w:val="24"/>
        </w:rPr>
        <w:t xml:space="preserve"> -</w:t>
      </w:r>
      <w:r w:rsidRPr="00206B4E">
        <w:rPr>
          <w:rFonts w:ascii="Times New Roman" w:hAnsi="Times New Roman"/>
          <w:sz w:val="24"/>
          <w:szCs w:val="24"/>
        </w:rPr>
        <w:t xml:space="preserve"> sebbene l’articolo 17, comma 5, del </w:t>
      </w:r>
      <w:r w:rsidR="00B440D9">
        <w:rPr>
          <w:rFonts w:ascii="Times New Roman" w:hAnsi="Times New Roman"/>
          <w:sz w:val="24"/>
          <w:szCs w:val="24"/>
        </w:rPr>
        <w:t>d</w:t>
      </w:r>
      <w:r w:rsidRPr="00206B4E">
        <w:rPr>
          <w:rFonts w:ascii="Times New Roman" w:hAnsi="Times New Roman"/>
          <w:sz w:val="24"/>
          <w:szCs w:val="24"/>
        </w:rPr>
        <w:t xml:space="preserve">. </w:t>
      </w:r>
      <w:r w:rsidR="00B440D9">
        <w:rPr>
          <w:rFonts w:ascii="Times New Roman" w:hAnsi="Times New Roman"/>
          <w:sz w:val="24"/>
          <w:szCs w:val="24"/>
        </w:rPr>
        <w:t>l</w:t>
      </w:r>
      <w:r w:rsidRPr="00206B4E">
        <w:rPr>
          <w:rFonts w:ascii="Times New Roman" w:hAnsi="Times New Roman"/>
          <w:sz w:val="24"/>
          <w:szCs w:val="24"/>
        </w:rPr>
        <w:t xml:space="preserve">gs. </w:t>
      </w:r>
      <w:r w:rsidR="00DA6A57">
        <w:rPr>
          <w:rFonts w:ascii="Times New Roman" w:hAnsi="Times New Roman"/>
          <w:sz w:val="24"/>
          <w:szCs w:val="24"/>
        </w:rPr>
        <w:t xml:space="preserve">n. </w:t>
      </w:r>
      <w:r w:rsidRPr="00206B4E">
        <w:rPr>
          <w:rFonts w:ascii="Times New Roman" w:hAnsi="Times New Roman"/>
          <w:sz w:val="24"/>
          <w:szCs w:val="24"/>
        </w:rPr>
        <w:t>201</w:t>
      </w:r>
      <w:r w:rsidR="00AB4262">
        <w:rPr>
          <w:rFonts w:ascii="Times New Roman" w:hAnsi="Times New Roman"/>
          <w:sz w:val="24"/>
          <w:szCs w:val="24"/>
        </w:rPr>
        <w:t>/</w:t>
      </w:r>
      <w:r w:rsidRPr="00206B4E">
        <w:rPr>
          <w:rFonts w:ascii="Times New Roman" w:hAnsi="Times New Roman"/>
          <w:sz w:val="24"/>
          <w:szCs w:val="24"/>
        </w:rPr>
        <w:t>2022 stabilisc</w:t>
      </w:r>
      <w:r w:rsidR="00CE41F9">
        <w:rPr>
          <w:rFonts w:ascii="Times New Roman" w:hAnsi="Times New Roman"/>
          <w:sz w:val="24"/>
          <w:szCs w:val="24"/>
        </w:rPr>
        <w:t>a</w:t>
      </w:r>
      <w:r w:rsidRPr="00206B4E">
        <w:rPr>
          <w:rFonts w:ascii="Times New Roman" w:hAnsi="Times New Roman"/>
          <w:sz w:val="24"/>
          <w:szCs w:val="24"/>
        </w:rPr>
        <w:t xml:space="preserve"> che l’ente è tenuto a dare conto, nell’ambito dell’analisi periodica delle partecipazioni di cui all’articolo 20 del </w:t>
      </w:r>
      <w:r w:rsidR="00B440D9">
        <w:rPr>
          <w:rFonts w:ascii="Times New Roman" w:hAnsi="Times New Roman"/>
          <w:sz w:val="24"/>
          <w:szCs w:val="24"/>
        </w:rPr>
        <w:t>d</w:t>
      </w:r>
      <w:r w:rsidRPr="00206B4E">
        <w:rPr>
          <w:rFonts w:ascii="Times New Roman" w:hAnsi="Times New Roman"/>
          <w:sz w:val="24"/>
          <w:szCs w:val="24"/>
        </w:rPr>
        <w:t xml:space="preserve">. </w:t>
      </w:r>
      <w:r w:rsidR="00B440D9">
        <w:rPr>
          <w:rFonts w:ascii="Times New Roman" w:hAnsi="Times New Roman"/>
          <w:sz w:val="24"/>
          <w:szCs w:val="24"/>
        </w:rPr>
        <w:t>l</w:t>
      </w:r>
      <w:r w:rsidRPr="00206B4E">
        <w:rPr>
          <w:rFonts w:ascii="Times New Roman" w:hAnsi="Times New Roman"/>
          <w:sz w:val="24"/>
          <w:szCs w:val="24"/>
        </w:rPr>
        <w:t xml:space="preserve">gs. </w:t>
      </w:r>
      <w:r w:rsidR="004C6E59">
        <w:rPr>
          <w:rFonts w:ascii="Times New Roman" w:hAnsi="Times New Roman"/>
          <w:sz w:val="24"/>
          <w:szCs w:val="24"/>
        </w:rPr>
        <w:t xml:space="preserve">19 agosto 2016, n. </w:t>
      </w:r>
      <w:r w:rsidRPr="00206B4E">
        <w:rPr>
          <w:rFonts w:ascii="Times New Roman" w:hAnsi="Times New Roman"/>
          <w:sz w:val="24"/>
          <w:szCs w:val="24"/>
        </w:rPr>
        <w:t xml:space="preserve">175 (“TUSP”) delle ragioni che, sul piano economico e della qualità dei servizi, giustificano il mantenimento dell’affidamento, anche in </w:t>
      </w:r>
      <w:r w:rsidRPr="00206B4E">
        <w:rPr>
          <w:rFonts w:ascii="Times New Roman" w:hAnsi="Times New Roman"/>
          <w:sz w:val="24"/>
          <w:szCs w:val="24"/>
        </w:rPr>
        <w:lastRenderedPageBreak/>
        <w:t>relazione ai risultati conseguiti nella gestione</w:t>
      </w:r>
      <w:r w:rsidR="00B67EBA">
        <w:rPr>
          <w:rFonts w:ascii="Times New Roman" w:hAnsi="Times New Roman"/>
          <w:sz w:val="24"/>
          <w:szCs w:val="24"/>
        </w:rPr>
        <w:t xml:space="preserve"> - </w:t>
      </w:r>
      <w:r w:rsidRPr="00206B4E">
        <w:rPr>
          <w:rFonts w:ascii="Times New Roman" w:hAnsi="Times New Roman"/>
          <w:sz w:val="24"/>
          <w:szCs w:val="24"/>
        </w:rPr>
        <w:t xml:space="preserve">non sono previste </w:t>
      </w:r>
      <w:r w:rsidR="00B67EBA">
        <w:rPr>
          <w:rFonts w:ascii="Times New Roman" w:hAnsi="Times New Roman"/>
          <w:sz w:val="24"/>
          <w:szCs w:val="24"/>
        </w:rPr>
        <w:t>conseguenze nel caso in cui nonostante la gestione sia inefficiente si prosegua con tale affidamento</w:t>
      </w:r>
      <w:r w:rsidRPr="00206B4E">
        <w:rPr>
          <w:rFonts w:ascii="Times New Roman" w:hAnsi="Times New Roman"/>
          <w:sz w:val="24"/>
          <w:szCs w:val="24"/>
        </w:rPr>
        <w:t xml:space="preserve">. D’altra parte, il </w:t>
      </w:r>
      <w:r w:rsidR="004C6E59">
        <w:rPr>
          <w:rFonts w:ascii="Times New Roman" w:hAnsi="Times New Roman"/>
          <w:sz w:val="24"/>
          <w:szCs w:val="24"/>
        </w:rPr>
        <w:t>d</w:t>
      </w:r>
      <w:r w:rsidRPr="00206B4E">
        <w:rPr>
          <w:rFonts w:ascii="Times New Roman" w:hAnsi="Times New Roman"/>
          <w:sz w:val="24"/>
          <w:szCs w:val="24"/>
        </w:rPr>
        <w:t xml:space="preserve">. </w:t>
      </w:r>
      <w:r w:rsidR="004C6E59">
        <w:rPr>
          <w:rFonts w:ascii="Times New Roman" w:hAnsi="Times New Roman"/>
          <w:sz w:val="24"/>
          <w:szCs w:val="24"/>
        </w:rPr>
        <w:t>l</w:t>
      </w:r>
      <w:r w:rsidRPr="00206B4E">
        <w:rPr>
          <w:rFonts w:ascii="Times New Roman" w:hAnsi="Times New Roman"/>
          <w:sz w:val="24"/>
          <w:szCs w:val="24"/>
        </w:rPr>
        <w:t xml:space="preserve">gs. </w:t>
      </w:r>
      <w:r w:rsidR="00DA6A57">
        <w:rPr>
          <w:rFonts w:ascii="Times New Roman" w:hAnsi="Times New Roman"/>
          <w:sz w:val="24"/>
          <w:szCs w:val="24"/>
        </w:rPr>
        <w:t xml:space="preserve">n. </w:t>
      </w:r>
      <w:r w:rsidRPr="00206B4E">
        <w:rPr>
          <w:rFonts w:ascii="Times New Roman" w:hAnsi="Times New Roman"/>
          <w:sz w:val="24"/>
          <w:szCs w:val="24"/>
        </w:rPr>
        <w:t>201</w:t>
      </w:r>
      <w:r w:rsidR="00AB4262">
        <w:rPr>
          <w:rFonts w:ascii="Times New Roman" w:hAnsi="Times New Roman"/>
          <w:sz w:val="24"/>
          <w:szCs w:val="24"/>
        </w:rPr>
        <w:t>/</w:t>
      </w:r>
      <w:r w:rsidRPr="00206B4E">
        <w:rPr>
          <w:rFonts w:ascii="Times New Roman" w:hAnsi="Times New Roman"/>
          <w:sz w:val="24"/>
          <w:szCs w:val="24"/>
        </w:rPr>
        <w:t xml:space="preserve">2022 contiene alcune previsioni relative alla disciplina contrattuale tra l’ente e il gestore proprio con la finalità di garantire l’equilibrio economico-finanziario della gestione e il miglioramento della qualità dei servizi. </w:t>
      </w:r>
    </w:p>
    <w:p w14:paraId="2A03949F" w14:textId="751B8598" w:rsidR="005427A4" w:rsidRPr="00206B4E" w:rsidRDefault="005427A4" w:rsidP="00746C3F">
      <w:pPr>
        <w:spacing w:after="60" w:line="276" w:lineRule="auto"/>
        <w:jc w:val="both"/>
        <w:rPr>
          <w:rFonts w:ascii="Times New Roman" w:hAnsi="Times New Roman"/>
          <w:sz w:val="24"/>
          <w:szCs w:val="24"/>
        </w:rPr>
      </w:pPr>
      <w:r w:rsidRPr="00206B4E">
        <w:rPr>
          <w:rFonts w:ascii="Times New Roman" w:hAnsi="Times New Roman"/>
          <w:sz w:val="24"/>
          <w:szCs w:val="24"/>
        </w:rPr>
        <w:t>Da tale quadro normativo risulta che</w:t>
      </w:r>
      <w:r w:rsidR="00B67EBA">
        <w:rPr>
          <w:rFonts w:ascii="Times New Roman" w:hAnsi="Times New Roman"/>
          <w:sz w:val="24"/>
          <w:szCs w:val="24"/>
        </w:rPr>
        <w:t xml:space="preserve"> sebbene</w:t>
      </w:r>
      <w:r w:rsidRPr="00206B4E">
        <w:rPr>
          <w:rFonts w:ascii="Times New Roman" w:hAnsi="Times New Roman"/>
          <w:sz w:val="24"/>
          <w:szCs w:val="24"/>
        </w:rPr>
        <w:t xml:space="preserve"> in caso di gestioni gravemente inefficienti – e quindi in violazione degli obblighi di servizio previsti dal regolatore o dal contratto di servizio – l’ente affidante di</w:t>
      </w:r>
      <w:r w:rsidR="00B67EBA">
        <w:rPr>
          <w:rFonts w:ascii="Times New Roman" w:hAnsi="Times New Roman"/>
          <w:sz w:val="24"/>
          <w:szCs w:val="24"/>
        </w:rPr>
        <w:t>sponga della</w:t>
      </w:r>
      <w:r w:rsidRPr="00206B4E">
        <w:rPr>
          <w:rFonts w:ascii="Times New Roman" w:hAnsi="Times New Roman"/>
          <w:sz w:val="24"/>
          <w:szCs w:val="24"/>
        </w:rPr>
        <w:t xml:space="preserve"> facoltà di risolvere anticipatamente il rapporto contrattuale</w:t>
      </w:r>
      <w:r w:rsidR="00B67EBA">
        <w:rPr>
          <w:rFonts w:ascii="Times New Roman" w:hAnsi="Times New Roman"/>
          <w:sz w:val="24"/>
          <w:szCs w:val="24"/>
        </w:rPr>
        <w:t xml:space="preserve">, la </w:t>
      </w:r>
      <w:r w:rsidRPr="00206B4E">
        <w:rPr>
          <w:rFonts w:ascii="Times New Roman" w:hAnsi="Times New Roman"/>
          <w:sz w:val="24"/>
          <w:szCs w:val="24"/>
        </w:rPr>
        <w:t xml:space="preserve">scelta dei </w:t>
      </w:r>
      <w:r w:rsidR="00B67EBA">
        <w:rPr>
          <w:rFonts w:ascii="Times New Roman" w:hAnsi="Times New Roman"/>
          <w:sz w:val="24"/>
          <w:szCs w:val="24"/>
        </w:rPr>
        <w:t>“</w:t>
      </w:r>
      <w:r w:rsidRPr="00206B4E">
        <w:rPr>
          <w:rFonts w:ascii="Times New Roman" w:hAnsi="Times New Roman"/>
          <w:sz w:val="24"/>
          <w:szCs w:val="24"/>
        </w:rPr>
        <w:t>criteri</w:t>
      </w:r>
      <w:r w:rsidR="00B67EBA">
        <w:rPr>
          <w:rFonts w:ascii="Times New Roman" w:hAnsi="Times New Roman"/>
          <w:sz w:val="24"/>
          <w:szCs w:val="24"/>
        </w:rPr>
        <w:t>”</w:t>
      </w:r>
      <w:r w:rsidRPr="00206B4E">
        <w:rPr>
          <w:rFonts w:ascii="Times New Roman" w:hAnsi="Times New Roman"/>
          <w:sz w:val="24"/>
          <w:szCs w:val="24"/>
        </w:rPr>
        <w:t xml:space="preserve"> in base ai quali soppesare </w:t>
      </w:r>
      <w:r w:rsidR="00B67EBA">
        <w:rPr>
          <w:rFonts w:ascii="Times New Roman" w:hAnsi="Times New Roman"/>
          <w:sz w:val="24"/>
          <w:szCs w:val="24"/>
        </w:rPr>
        <w:t>l’effettiva inefficienza del servizio è</w:t>
      </w:r>
      <w:r w:rsidRPr="00206B4E">
        <w:rPr>
          <w:rFonts w:ascii="Times New Roman" w:hAnsi="Times New Roman"/>
          <w:sz w:val="24"/>
          <w:szCs w:val="24"/>
        </w:rPr>
        <w:t xml:space="preserve"> rimessa all</w:t>
      </w:r>
      <w:r w:rsidR="00B67EBA">
        <w:rPr>
          <w:rFonts w:ascii="Times New Roman" w:hAnsi="Times New Roman"/>
          <w:sz w:val="24"/>
          <w:szCs w:val="24"/>
        </w:rPr>
        <w:t>a valutazione “discrezionale” dell’</w:t>
      </w:r>
      <w:r w:rsidRPr="00206B4E">
        <w:rPr>
          <w:rFonts w:ascii="Times New Roman" w:hAnsi="Times New Roman"/>
          <w:sz w:val="24"/>
          <w:szCs w:val="24"/>
        </w:rPr>
        <w:t>ente</w:t>
      </w:r>
      <w:r w:rsidR="00B67EBA">
        <w:rPr>
          <w:rFonts w:ascii="Times New Roman" w:hAnsi="Times New Roman"/>
          <w:sz w:val="24"/>
          <w:szCs w:val="24"/>
        </w:rPr>
        <w:t xml:space="preserve"> che affida il servizio di trasporto pubblico locale</w:t>
      </w:r>
      <w:r w:rsidRPr="00206B4E">
        <w:rPr>
          <w:rFonts w:ascii="Times New Roman" w:hAnsi="Times New Roman"/>
          <w:sz w:val="24"/>
          <w:szCs w:val="24"/>
        </w:rPr>
        <w:t>.</w:t>
      </w:r>
    </w:p>
    <w:p w14:paraId="66697186" w14:textId="1B75E356" w:rsidR="005427A4" w:rsidRPr="00206B4E" w:rsidRDefault="005427A4" w:rsidP="00746C3F">
      <w:pPr>
        <w:spacing w:after="60" w:line="276" w:lineRule="auto"/>
        <w:jc w:val="both"/>
        <w:rPr>
          <w:rFonts w:ascii="Times New Roman" w:hAnsi="Times New Roman"/>
          <w:sz w:val="24"/>
          <w:szCs w:val="24"/>
        </w:rPr>
      </w:pPr>
      <w:r w:rsidRPr="00206B4E">
        <w:rPr>
          <w:rFonts w:ascii="Times New Roman" w:hAnsi="Times New Roman"/>
          <w:sz w:val="24"/>
          <w:szCs w:val="24"/>
        </w:rPr>
        <w:t>D</w:t>
      </w:r>
      <w:r w:rsidR="00D93A05">
        <w:rPr>
          <w:rFonts w:ascii="Times New Roman" w:hAnsi="Times New Roman"/>
          <w:sz w:val="24"/>
          <w:szCs w:val="24"/>
        </w:rPr>
        <w:t>el resto, come emerge dalla stessa segnalazione dell’AGCM, d</w:t>
      </w:r>
      <w:r w:rsidRPr="00206B4E">
        <w:rPr>
          <w:rFonts w:ascii="Times New Roman" w:hAnsi="Times New Roman"/>
          <w:sz w:val="24"/>
          <w:szCs w:val="24"/>
        </w:rPr>
        <w:t>alla prima esperienza sull’analisi delle ricognizioni</w:t>
      </w:r>
      <w:r w:rsidR="007A329F" w:rsidRPr="00206B4E">
        <w:rPr>
          <w:rFonts w:ascii="Times New Roman" w:hAnsi="Times New Roman"/>
          <w:sz w:val="24"/>
          <w:szCs w:val="24"/>
        </w:rPr>
        <w:t xml:space="preserve"> </w:t>
      </w:r>
      <w:r w:rsidR="00D93A05">
        <w:rPr>
          <w:rFonts w:ascii="Times New Roman" w:hAnsi="Times New Roman"/>
          <w:sz w:val="24"/>
          <w:szCs w:val="24"/>
        </w:rPr>
        <w:t xml:space="preserve">che sono state </w:t>
      </w:r>
      <w:r w:rsidR="007A329F" w:rsidRPr="00206B4E">
        <w:rPr>
          <w:rFonts w:ascii="Times New Roman" w:hAnsi="Times New Roman"/>
          <w:sz w:val="24"/>
          <w:szCs w:val="24"/>
        </w:rPr>
        <w:t xml:space="preserve">effettuata </w:t>
      </w:r>
      <w:r w:rsidRPr="00206B4E">
        <w:rPr>
          <w:rFonts w:ascii="Times New Roman" w:hAnsi="Times New Roman"/>
          <w:sz w:val="24"/>
          <w:szCs w:val="24"/>
        </w:rPr>
        <w:t xml:space="preserve">non si </w:t>
      </w:r>
      <w:r w:rsidR="00D93A05">
        <w:rPr>
          <w:rFonts w:ascii="Times New Roman" w:hAnsi="Times New Roman"/>
          <w:sz w:val="24"/>
          <w:szCs w:val="24"/>
        </w:rPr>
        <w:t xml:space="preserve">sono riscontrati casi in cui </w:t>
      </w:r>
      <w:r w:rsidRPr="00206B4E">
        <w:rPr>
          <w:rFonts w:ascii="Times New Roman" w:hAnsi="Times New Roman"/>
          <w:sz w:val="24"/>
          <w:szCs w:val="24"/>
        </w:rPr>
        <w:t>l’ente</w:t>
      </w:r>
      <w:r w:rsidR="00D93A05">
        <w:rPr>
          <w:rFonts w:ascii="Times New Roman" w:hAnsi="Times New Roman"/>
          <w:sz w:val="24"/>
          <w:szCs w:val="24"/>
        </w:rPr>
        <w:t>,</w:t>
      </w:r>
      <w:r w:rsidRPr="00206B4E">
        <w:rPr>
          <w:rFonts w:ascii="Times New Roman" w:hAnsi="Times New Roman"/>
          <w:sz w:val="24"/>
          <w:szCs w:val="24"/>
        </w:rPr>
        <w:t xml:space="preserve"> a</w:t>
      </w:r>
      <w:r w:rsidR="00D33561">
        <w:rPr>
          <w:rFonts w:ascii="Times New Roman" w:hAnsi="Times New Roman"/>
          <w:sz w:val="24"/>
          <w:szCs w:val="24"/>
        </w:rPr>
        <w:t>ll’</w:t>
      </w:r>
      <w:r w:rsidRPr="00206B4E">
        <w:rPr>
          <w:rFonts w:ascii="Times New Roman" w:hAnsi="Times New Roman"/>
          <w:sz w:val="24"/>
          <w:szCs w:val="24"/>
        </w:rPr>
        <w:t xml:space="preserve">esito delle ricognizioni, </w:t>
      </w:r>
      <w:r w:rsidR="00D93A05">
        <w:rPr>
          <w:rFonts w:ascii="Times New Roman" w:hAnsi="Times New Roman"/>
          <w:sz w:val="24"/>
          <w:szCs w:val="24"/>
        </w:rPr>
        <w:t xml:space="preserve">abbia effettivamente </w:t>
      </w:r>
      <w:r w:rsidRPr="00206B4E">
        <w:rPr>
          <w:rFonts w:ascii="Times New Roman" w:hAnsi="Times New Roman"/>
          <w:sz w:val="24"/>
          <w:szCs w:val="24"/>
        </w:rPr>
        <w:t xml:space="preserve">concluso </w:t>
      </w:r>
      <w:r w:rsidR="00D93A05">
        <w:rPr>
          <w:rFonts w:ascii="Times New Roman" w:hAnsi="Times New Roman"/>
          <w:sz w:val="24"/>
          <w:szCs w:val="24"/>
        </w:rPr>
        <w:t xml:space="preserve">con </w:t>
      </w:r>
      <w:r w:rsidRPr="00206B4E">
        <w:rPr>
          <w:rFonts w:ascii="Times New Roman" w:hAnsi="Times New Roman"/>
          <w:sz w:val="24"/>
          <w:szCs w:val="24"/>
        </w:rPr>
        <w:t xml:space="preserve">l’adozione di misure </w:t>
      </w:r>
      <w:r w:rsidR="00D93A05">
        <w:rPr>
          <w:rFonts w:ascii="Times New Roman" w:hAnsi="Times New Roman"/>
          <w:sz w:val="24"/>
          <w:szCs w:val="24"/>
        </w:rPr>
        <w:t xml:space="preserve">di carattere </w:t>
      </w:r>
      <w:r w:rsidRPr="00206B4E">
        <w:rPr>
          <w:rFonts w:ascii="Times New Roman" w:hAnsi="Times New Roman"/>
          <w:sz w:val="24"/>
          <w:szCs w:val="24"/>
        </w:rPr>
        <w:t>correttiv</w:t>
      </w:r>
      <w:r w:rsidR="00D93A05">
        <w:rPr>
          <w:rFonts w:ascii="Times New Roman" w:hAnsi="Times New Roman"/>
          <w:sz w:val="24"/>
          <w:szCs w:val="24"/>
        </w:rPr>
        <w:t>o</w:t>
      </w:r>
      <w:r w:rsidRPr="00206B4E">
        <w:rPr>
          <w:rFonts w:ascii="Times New Roman" w:hAnsi="Times New Roman"/>
          <w:sz w:val="24"/>
          <w:szCs w:val="24"/>
        </w:rPr>
        <w:t xml:space="preserve"> delle gestioni (in particolare di quelle </w:t>
      </w:r>
      <w:r w:rsidRPr="00206B4E">
        <w:rPr>
          <w:rFonts w:ascii="Times New Roman" w:hAnsi="Times New Roman"/>
          <w:i/>
          <w:iCs/>
          <w:sz w:val="24"/>
          <w:szCs w:val="24"/>
        </w:rPr>
        <w:t>in house</w:t>
      </w:r>
      <w:r w:rsidR="00D33561">
        <w:rPr>
          <w:rFonts w:ascii="Times New Roman" w:hAnsi="Times New Roman"/>
          <w:sz w:val="24"/>
          <w:szCs w:val="24"/>
        </w:rPr>
        <w:t>)</w:t>
      </w:r>
      <w:r w:rsidRPr="00206B4E">
        <w:rPr>
          <w:rFonts w:ascii="Times New Roman" w:hAnsi="Times New Roman"/>
          <w:sz w:val="24"/>
          <w:szCs w:val="24"/>
        </w:rPr>
        <w:t>.</w:t>
      </w:r>
    </w:p>
    <w:p w14:paraId="49DC3936" w14:textId="4C939A4F" w:rsidR="00D33561" w:rsidRDefault="00CE41F9" w:rsidP="00440589">
      <w:pPr>
        <w:tabs>
          <w:tab w:val="left" w:pos="6237"/>
        </w:tabs>
        <w:spacing w:after="60" w:line="276" w:lineRule="auto"/>
        <w:jc w:val="both"/>
        <w:rPr>
          <w:rFonts w:ascii="Times New Roman" w:hAnsi="Times New Roman"/>
          <w:sz w:val="24"/>
          <w:szCs w:val="24"/>
        </w:rPr>
      </w:pPr>
      <w:r>
        <w:rPr>
          <w:rFonts w:ascii="Times New Roman" w:hAnsi="Times New Roman"/>
          <w:sz w:val="24"/>
          <w:szCs w:val="24"/>
        </w:rPr>
        <w:t xml:space="preserve">Con </w:t>
      </w:r>
      <w:r w:rsidR="00631844">
        <w:rPr>
          <w:rFonts w:ascii="Times New Roman" w:hAnsi="Times New Roman"/>
          <w:b/>
          <w:bCs/>
          <w:sz w:val="24"/>
          <w:szCs w:val="24"/>
        </w:rPr>
        <w:t>il comma</w:t>
      </w:r>
      <w:r w:rsidRPr="00CE41F9">
        <w:rPr>
          <w:rFonts w:ascii="Times New Roman" w:hAnsi="Times New Roman"/>
          <w:b/>
          <w:bCs/>
          <w:sz w:val="24"/>
          <w:szCs w:val="24"/>
        </w:rPr>
        <w:t xml:space="preserve"> 1</w:t>
      </w:r>
      <w:r w:rsidR="00D93A05">
        <w:rPr>
          <w:rFonts w:ascii="Times New Roman" w:hAnsi="Times New Roman"/>
          <w:b/>
          <w:bCs/>
          <w:sz w:val="24"/>
          <w:szCs w:val="24"/>
        </w:rPr>
        <w:t xml:space="preserve">, </w:t>
      </w:r>
      <w:r w:rsidR="00D93A05" w:rsidRPr="00D93A05">
        <w:rPr>
          <w:rFonts w:ascii="Times New Roman" w:hAnsi="Times New Roman"/>
          <w:sz w:val="24"/>
          <w:szCs w:val="24"/>
        </w:rPr>
        <w:t xml:space="preserve">al fine di rafforzare le attività di vigilanza e i controlli, </w:t>
      </w:r>
      <w:r w:rsidR="009731FD" w:rsidRPr="00B4658A">
        <w:rPr>
          <w:rFonts w:ascii="Times New Roman" w:hAnsi="Times New Roman"/>
          <w:sz w:val="24"/>
          <w:szCs w:val="24"/>
        </w:rPr>
        <w:t xml:space="preserve">si introducono </w:t>
      </w:r>
      <w:r w:rsidR="00B3406D">
        <w:rPr>
          <w:rFonts w:ascii="Times New Roman" w:hAnsi="Times New Roman"/>
          <w:sz w:val="24"/>
          <w:szCs w:val="24"/>
        </w:rPr>
        <w:t>tre</w:t>
      </w:r>
      <w:r w:rsidR="009731FD" w:rsidRPr="00B4658A">
        <w:rPr>
          <w:rFonts w:ascii="Times New Roman" w:hAnsi="Times New Roman"/>
          <w:sz w:val="24"/>
          <w:szCs w:val="24"/>
        </w:rPr>
        <w:t xml:space="preserve"> commi all’articolo 30 del citato decreto legislativo. </w:t>
      </w:r>
      <w:r w:rsidR="00D33561">
        <w:rPr>
          <w:rFonts w:ascii="Times New Roman" w:hAnsi="Times New Roman"/>
          <w:sz w:val="24"/>
          <w:szCs w:val="24"/>
        </w:rPr>
        <w:t>Nello specifico:</w:t>
      </w:r>
    </w:p>
    <w:p w14:paraId="39065515" w14:textId="793B3C52" w:rsidR="00D33561" w:rsidRDefault="00D33561" w:rsidP="00980B63">
      <w:pPr>
        <w:pStyle w:val="Paragrafoelenco"/>
        <w:numPr>
          <w:ilvl w:val="0"/>
          <w:numId w:val="10"/>
        </w:numPr>
        <w:tabs>
          <w:tab w:val="left" w:pos="6237"/>
        </w:tabs>
        <w:spacing w:after="60" w:line="276" w:lineRule="auto"/>
        <w:jc w:val="both"/>
        <w:rPr>
          <w:rFonts w:ascii="Times New Roman" w:hAnsi="Times New Roman"/>
          <w:sz w:val="24"/>
          <w:szCs w:val="24"/>
        </w:rPr>
      </w:pPr>
      <w:r w:rsidRPr="00D33561">
        <w:rPr>
          <w:rFonts w:ascii="Times New Roman" w:hAnsi="Times New Roman"/>
          <w:sz w:val="24"/>
          <w:szCs w:val="24"/>
        </w:rPr>
        <w:t>c</w:t>
      </w:r>
      <w:r w:rsidR="009731FD" w:rsidRPr="00D33561">
        <w:rPr>
          <w:rFonts w:ascii="Times New Roman" w:hAnsi="Times New Roman"/>
          <w:sz w:val="24"/>
          <w:szCs w:val="24"/>
        </w:rPr>
        <w:t xml:space="preserve">on il nuovo </w:t>
      </w:r>
      <w:r w:rsidR="009731FD" w:rsidRPr="00D93A05">
        <w:rPr>
          <w:rFonts w:ascii="Times New Roman" w:hAnsi="Times New Roman"/>
          <w:b/>
          <w:bCs/>
          <w:sz w:val="24"/>
          <w:szCs w:val="24"/>
        </w:rPr>
        <w:t>comma 1-bis</w:t>
      </w:r>
      <w:r w:rsidR="009731FD" w:rsidRPr="00D33561">
        <w:rPr>
          <w:rFonts w:ascii="Times New Roman" w:hAnsi="Times New Roman"/>
          <w:sz w:val="24"/>
          <w:szCs w:val="24"/>
        </w:rPr>
        <w:t xml:space="preserve"> </w:t>
      </w:r>
      <w:r w:rsidR="008B170A" w:rsidRPr="00D33561">
        <w:rPr>
          <w:rFonts w:ascii="Times New Roman" w:hAnsi="Times New Roman"/>
          <w:sz w:val="24"/>
          <w:szCs w:val="24"/>
        </w:rPr>
        <w:t>si prevede che, nell’ambito della ricognizione, l’ente individua le possibili cause dell’eventuale andamento negativo, tenendo conto delle valutazioni conclusive sull’andamento della gestione di ciascun servizio affidato. Se da tali valutazioni emerge un andamento gestionale insoddisfacente per cause dipendenti dall’attività del gestore, l’ente adotta un atto di indirizzo con cui impone al gestore di elaborare, entro un termine massimo di tre mesi, un piano</w:t>
      </w:r>
      <w:r w:rsidR="00E72614">
        <w:rPr>
          <w:rFonts w:ascii="Times New Roman" w:hAnsi="Times New Roman"/>
          <w:sz w:val="24"/>
          <w:szCs w:val="24"/>
        </w:rPr>
        <w:t xml:space="preserve">, contenente un cronoprogramma, </w:t>
      </w:r>
      <w:r w:rsidR="008B170A" w:rsidRPr="00D33561">
        <w:rPr>
          <w:rFonts w:ascii="Times New Roman" w:hAnsi="Times New Roman"/>
          <w:sz w:val="24"/>
          <w:szCs w:val="24"/>
        </w:rPr>
        <w:t>per intraprendere le necessarie misure correttive che includano azioni per il ripristino e il miglioramento della qualità del servizio, per efficientare i costi e ripianare le eventuali perdite. L’atto di indirizzo e il piano vengono trasmessi all’ANAC</w:t>
      </w:r>
      <w:r w:rsidR="00F55565">
        <w:rPr>
          <w:rFonts w:ascii="Times New Roman" w:hAnsi="Times New Roman"/>
          <w:sz w:val="24"/>
          <w:szCs w:val="24"/>
        </w:rPr>
        <w:t xml:space="preserve"> per essere pubblicati nel portale telematico. L’AGCM effettua un’attività di monitoraggio sugli atti di indirizzo e sulla efficacia delle misure correttive previste e predispone annualmente una relazione al Governo e al Parlamento.</w:t>
      </w:r>
      <w:r w:rsidRPr="00D33561">
        <w:rPr>
          <w:rFonts w:ascii="Times New Roman" w:hAnsi="Times New Roman"/>
          <w:sz w:val="24"/>
          <w:szCs w:val="24"/>
        </w:rPr>
        <w:t>;</w:t>
      </w:r>
    </w:p>
    <w:p w14:paraId="0E5D7AF2" w14:textId="78ED3147" w:rsidR="00D33561" w:rsidRDefault="00D33561" w:rsidP="00980B63">
      <w:pPr>
        <w:pStyle w:val="Paragrafoelenco"/>
        <w:numPr>
          <w:ilvl w:val="0"/>
          <w:numId w:val="10"/>
        </w:numPr>
        <w:tabs>
          <w:tab w:val="left" w:pos="6237"/>
        </w:tabs>
        <w:spacing w:after="60" w:line="276" w:lineRule="auto"/>
        <w:jc w:val="both"/>
        <w:rPr>
          <w:rFonts w:ascii="Times New Roman" w:hAnsi="Times New Roman"/>
          <w:sz w:val="24"/>
          <w:szCs w:val="24"/>
        </w:rPr>
      </w:pPr>
      <w:r>
        <w:rPr>
          <w:rFonts w:ascii="Times New Roman" w:hAnsi="Times New Roman"/>
          <w:sz w:val="24"/>
          <w:szCs w:val="24"/>
        </w:rPr>
        <w:t>c</w:t>
      </w:r>
      <w:r w:rsidR="00532CB3" w:rsidRPr="00D33561">
        <w:rPr>
          <w:rFonts w:ascii="Times New Roman" w:hAnsi="Times New Roman"/>
          <w:sz w:val="24"/>
          <w:szCs w:val="24"/>
        </w:rPr>
        <w:t>on</w:t>
      </w:r>
      <w:r w:rsidR="002F5EE9" w:rsidRPr="00D33561">
        <w:rPr>
          <w:rFonts w:ascii="Times New Roman" w:hAnsi="Times New Roman"/>
          <w:sz w:val="24"/>
          <w:szCs w:val="24"/>
        </w:rPr>
        <w:t xml:space="preserve"> il nuovo </w:t>
      </w:r>
      <w:r w:rsidR="002F5EE9" w:rsidRPr="00D93A05">
        <w:rPr>
          <w:rFonts w:ascii="Times New Roman" w:hAnsi="Times New Roman"/>
          <w:b/>
          <w:bCs/>
          <w:sz w:val="24"/>
          <w:szCs w:val="24"/>
        </w:rPr>
        <w:t>comma 1-ter</w:t>
      </w:r>
      <w:r w:rsidR="002F5EE9" w:rsidRPr="00D33561">
        <w:rPr>
          <w:rFonts w:ascii="Times New Roman" w:hAnsi="Times New Roman"/>
          <w:sz w:val="24"/>
          <w:szCs w:val="24"/>
        </w:rPr>
        <w:t xml:space="preserve"> </w:t>
      </w:r>
      <w:r w:rsidR="00351887" w:rsidRPr="00D33561">
        <w:rPr>
          <w:rFonts w:ascii="Times New Roman" w:hAnsi="Times New Roman"/>
          <w:sz w:val="24"/>
          <w:szCs w:val="24"/>
        </w:rPr>
        <w:t>vengono specificate</w:t>
      </w:r>
      <w:r w:rsidR="003E315E" w:rsidRPr="00D33561">
        <w:rPr>
          <w:rFonts w:ascii="Times New Roman" w:hAnsi="Times New Roman"/>
          <w:sz w:val="24"/>
          <w:szCs w:val="24"/>
        </w:rPr>
        <w:t xml:space="preserve">, </w:t>
      </w:r>
      <w:r w:rsidR="00D93A05">
        <w:rPr>
          <w:rFonts w:ascii="Times New Roman" w:hAnsi="Times New Roman"/>
          <w:sz w:val="24"/>
          <w:szCs w:val="24"/>
        </w:rPr>
        <w:t xml:space="preserve">recependo le indicazioni </w:t>
      </w:r>
      <w:r w:rsidR="003E315E" w:rsidRPr="00D33561">
        <w:rPr>
          <w:rFonts w:ascii="Times New Roman" w:hAnsi="Times New Roman"/>
          <w:sz w:val="24"/>
          <w:szCs w:val="24"/>
        </w:rPr>
        <w:t>di AGCM,</w:t>
      </w:r>
      <w:r w:rsidR="002F5EE9" w:rsidRPr="00D33561">
        <w:rPr>
          <w:rFonts w:ascii="Times New Roman" w:hAnsi="Times New Roman"/>
          <w:sz w:val="24"/>
          <w:szCs w:val="24"/>
        </w:rPr>
        <w:t xml:space="preserve"> le ipotesi in cui l’andamento</w:t>
      </w:r>
      <w:r w:rsidR="008F0641" w:rsidRPr="00D33561">
        <w:rPr>
          <w:rFonts w:ascii="Times New Roman" w:hAnsi="Times New Roman"/>
          <w:sz w:val="24"/>
          <w:szCs w:val="24"/>
        </w:rPr>
        <w:t xml:space="preserve"> della gestione dei servizi pubblici locali</w:t>
      </w:r>
      <w:r w:rsidR="005B06EE" w:rsidRPr="00D33561">
        <w:rPr>
          <w:rFonts w:ascii="Times New Roman" w:hAnsi="Times New Roman"/>
          <w:sz w:val="24"/>
          <w:szCs w:val="24"/>
        </w:rPr>
        <w:t xml:space="preserve"> si considera insoddisfacente, ovvero quando</w:t>
      </w:r>
      <w:r w:rsidR="00EE547A" w:rsidRPr="00D33561">
        <w:rPr>
          <w:rFonts w:ascii="Times New Roman" w:hAnsi="Times New Roman"/>
          <w:sz w:val="24"/>
          <w:szCs w:val="24"/>
        </w:rPr>
        <w:t xml:space="preserve">: </w:t>
      </w:r>
    </w:p>
    <w:p w14:paraId="7C66019F" w14:textId="77777777" w:rsidR="00D33561" w:rsidRDefault="003E315E" w:rsidP="00440589">
      <w:pPr>
        <w:pStyle w:val="Paragrafoelenco"/>
        <w:numPr>
          <w:ilvl w:val="0"/>
          <w:numId w:val="12"/>
        </w:numPr>
        <w:tabs>
          <w:tab w:val="left" w:pos="6237"/>
        </w:tabs>
        <w:spacing w:after="60" w:line="276" w:lineRule="auto"/>
        <w:jc w:val="both"/>
        <w:rPr>
          <w:rFonts w:ascii="Times New Roman" w:hAnsi="Times New Roman"/>
          <w:sz w:val="24"/>
          <w:szCs w:val="24"/>
        </w:rPr>
      </w:pPr>
      <w:r w:rsidRPr="00D33561">
        <w:rPr>
          <w:rFonts w:ascii="Times New Roman" w:hAnsi="Times New Roman"/>
          <w:sz w:val="24"/>
          <w:szCs w:val="24"/>
        </w:rPr>
        <w:t xml:space="preserve"> </w:t>
      </w:r>
      <w:r w:rsidR="00EE547A" w:rsidRPr="00D33561">
        <w:rPr>
          <w:rFonts w:ascii="Times New Roman" w:hAnsi="Times New Roman"/>
          <w:sz w:val="24"/>
          <w:szCs w:val="24"/>
        </w:rPr>
        <w:t xml:space="preserve">il gestore ha registrato perdite significative negli ultimi due esercizi tali da compromettere le condizioni di equilibrio economico-finanziario; </w:t>
      </w:r>
    </w:p>
    <w:p w14:paraId="612838F9" w14:textId="77777777" w:rsidR="00D33561" w:rsidRDefault="00EE547A" w:rsidP="00440589">
      <w:pPr>
        <w:pStyle w:val="Paragrafoelenco"/>
        <w:numPr>
          <w:ilvl w:val="0"/>
          <w:numId w:val="12"/>
        </w:numPr>
        <w:tabs>
          <w:tab w:val="left" w:pos="6237"/>
        </w:tabs>
        <w:spacing w:after="60" w:line="276" w:lineRule="auto"/>
        <w:jc w:val="both"/>
        <w:rPr>
          <w:rFonts w:ascii="Times New Roman" w:hAnsi="Times New Roman"/>
          <w:sz w:val="24"/>
          <w:szCs w:val="24"/>
        </w:rPr>
      </w:pPr>
      <w:r w:rsidRPr="00D33561">
        <w:rPr>
          <w:rFonts w:ascii="Times New Roman" w:hAnsi="Times New Roman"/>
          <w:sz w:val="24"/>
          <w:szCs w:val="24"/>
        </w:rPr>
        <w:t xml:space="preserve">i risultati gestionali risultano significativamente insufficienti rispetto agli obiettivi contrattuali prefissati; </w:t>
      </w:r>
    </w:p>
    <w:p w14:paraId="0226772F" w14:textId="6C02DA37" w:rsidR="002F5EE9" w:rsidRDefault="00EE547A" w:rsidP="00440589">
      <w:pPr>
        <w:pStyle w:val="Paragrafoelenco"/>
        <w:numPr>
          <w:ilvl w:val="0"/>
          <w:numId w:val="12"/>
        </w:numPr>
        <w:tabs>
          <w:tab w:val="left" w:pos="6237"/>
        </w:tabs>
        <w:spacing w:after="60" w:line="276" w:lineRule="auto"/>
        <w:jc w:val="both"/>
        <w:rPr>
          <w:rFonts w:ascii="Times New Roman" w:hAnsi="Times New Roman"/>
          <w:sz w:val="24"/>
          <w:szCs w:val="24"/>
        </w:rPr>
      </w:pPr>
      <w:r w:rsidRPr="00D33561">
        <w:rPr>
          <w:rFonts w:ascii="Times New Roman" w:hAnsi="Times New Roman"/>
          <w:sz w:val="24"/>
          <w:szCs w:val="24"/>
        </w:rPr>
        <w:t>almeno due indicatori di qualità del servizio erogato risultano significativamente inferiori ai benchmark individuati ai sensi degli articoli 7 e 8</w:t>
      </w:r>
      <w:r w:rsidR="008E20B5" w:rsidRPr="00D33561">
        <w:rPr>
          <w:rFonts w:ascii="Times New Roman" w:hAnsi="Times New Roman"/>
          <w:sz w:val="24"/>
          <w:szCs w:val="24"/>
        </w:rPr>
        <w:t xml:space="preserve"> del d.</w:t>
      </w:r>
      <w:r w:rsidR="00B7627B" w:rsidRPr="00D33561">
        <w:rPr>
          <w:rFonts w:ascii="Times New Roman" w:hAnsi="Times New Roman"/>
          <w:sz w:val="24"/>
          <w:szCs w:val="24"/>
        </w:rPr>
        <w:t xml:space="preserve"> </w:t>
      </w:r>
      <w:r w:rsidR="008E20B5" w:rsidRPr="00D33561">
        <w:rPr>
          <w:rFonts w:ascii="Times New Roman" w:hAnsi="Times New Roman"/>
          <w:sz w:val="24"/>
          <w:szCs w:val="24"/>
        </w:rPr>
        <w:t xml:space="preserve">lgs. </w:t>
      </w:r>
      <w:r w:rsidR="008147ED" w:rsidRPr="00D33561">
        <w:rPr>
          <w:rFonts w:ascii="Times New Roman" w:hAnsi="Times New Roman"/>
          <w:sz w:val="24"/>
          <w:szCs w:val="24"/>
        </w:rPr>
        <w:t xml:space="preserve">n. </w:t>
      </w:r>
      <w:r w:rsidR="008E20B5" w:rsidRPr="00D33561">
        <w:rPr>
          <w:rFonts w:ascii="Times New Roman" w:hAnsi="Times New Roman"/>
          <w:sz w:val="24"/>
          <w:szCs w:val="24"/>
        </w:rPr>
        <w:t>201</w:t>
      </w:r>
      <w:r w:rsidR="00AB4262" w:rsidRPr="00D33561">
        <w:rPr>
          <w:rFonts w:ascii="Times New Roman" w:hAnsi="Times New Roman"/>
          <w:sz w:val="24"/>
          <w:szCs w:val="24"/>
        </w:rPr>
        <w:t>/</w:t>
      </w:r>
      <w:r w:rsidR="008E20B5" w:rsidRPr="00D33561">
        <w:rPr>
          <w:rFonts w:ascii="Times New Roman" w:hAnsi="Times New Roman"/>
          <w:sz w:val="24"/>
          <w:szCs w:val="24"/>
        </w:rPr>
        <w:t>2022</w:t>
      </w:r>
      <w:r w:rsidR="00E72614">
        <w:rPr>
          <w:rFonts w:ascii="Times New Roman" w:hAnsi="Times New Roman"/>
          <w:sz w:val="24"/>
          <w:szCs w:val="24"/>
        </w:rPr>
        <w:t>;</w:t>
      </w:r>
    </w:p>
    <w:p w14:paraId="179EF327" w14:textId="35F826C9" w:rsidR="00E72614" w:rsidRPr="00E72614" w:rsidRDefault="00E72614" w:rsidP="00E72614">
      <w:pPr>
        <w:pStyle w:val="Paragrafoelenco"/>
        <w:numPr>
          <w:ilvl w:val="0"/>
          <w:numId w:val="10"/>
        </w:numPr>
        <w:tabs>
          <w:tab w:val="left" w:pos="6237"/>
        </w:tabs>
        <w:spacing w:after="60" w:line="276" w:lineRule="auto"/>
        <w:jc w:val="both"/>
        <w:rPr>
          <w:rFonts w:ascii="Times New Roman" w:hAnsi="Times New Roman"/>
          <w:sz w:val="24"/>
          <w:szCs w:val="24"/>
        </w:rPr>
      </w:pPr>
      <w:r w:rsidRPr="00F55565">
        <w:rPr>
          <w:rFonts w:ascii="Times New Roman" w:hAnsi="Times New Roman"/>
          <w:b/>
          <w:bCs/>
          <w:sz w:val="24"/>
          <w:szCs w:val="24"/>
        </w:rPr>
        <w:t>con il comma 1- quater</w:t>
      </w:r>
      <w:r>
        <w:rPr>
          <w:rFonts w:ascii="Times New Roman" w:hAnsi="Times New Roman"/>
          <w:sz w:val="24"/>
          <w:szCs w:val="24"/>
        </w:rPr>
        <w:t xml:space="preserve"> si prevede </w:t>
      </w:r>
      <w:r w:rsidRPr="00E72614">
        <w:rPr>
          <w:rFonts w:ascii="Times New Roman" w:hAnsi="Times New Roman"/>
          <w:sz w:val="24"/>
          <w:szCs w:val="24"/>
        </w:rPr>
        <w:t>che, in caso di grave inadempimento da parte del gestore nell’attuazione del piano di cui al comma 1-bis, si applica l’articolo 27, comma 3</w:t>
      </w:r>
      <w:r>
        <w:rPr>
          <w:rFonts w:ascii="Times New Roman" w:hAnsi="Times New Roman"/>
          <w:sz w:val="24"/>
          <w:szCs w:val="24"/>
        </w:rPr>
        <w:t>.</w:t>
      </w:r>
    </w:p>
    <w:p w14:paraId="2329F1D1" w14:textId="77777777" w:rsidR="00E935DF" w:rsidRPr="00206B4E" w:rsidRDefault="00E935DF" w:rsidP="00746C3F">
      <w:pPr>
        <w:spacing w:after="60" w:line="276" w:lineRule="auto"/>
        <w:jc w:val="both"/>
        <w:rPr>
          <w:rFonts w:ascii="Times New Roman" w:hAnsi="Times New Roman"/>
          <w:sz w:val="24"/>
          <w:szCs w:val="24"/>
        </w:rPr>
      </w:pPr>
    </w:p>
    <w:p w14:paraId="70E54127" w14:textId="0868A51E" w:rsidR="004534F9" w:rsidRPr="00206B4E" w:rsidRDefault="00017D35" w:rsidP="00746C3F">
      <w:pPr>
        <w:spacing w:after="60" w:line="276" w:lineRule="auto"/>
        <w:jc w:val="both"/>
        <w:rPr>
          <w:rFonts w:ascii="Times New Roman" w:hAnsi="Times New Roman"/>
          <w:sz w:val="24"/>
          <w:szCs w:val="24"/>
        </w:rPr>
      </w:pPr>
      <w:r w:rsidRPr="00206B4E">
        <w:rPr>
          <w:rFonts w:ascii="Times New Roman" w:hAnsi="Times New Roman"/>
          <w:b/>
          <w:bCs/>
          <w:sz w:val="24"/>
          <w:szCs w:val="24"/>
        </w:rPr>
        <w:t>L’art</w:t>
      </w:r>
      <w:r w:rsidR="007366E8" w:rsidRPr="00206B4E">
        <w:rPr>
          <w:rFonts w:ascii="Times New Roman" w:hAnsi="Times New Roman"/>
          <w:b/>
          <w:bCs/>
          <w:sz w:val="24"/>
          <w:szCs w:val="24"/>
        </w:rPr>
        <w:t>icolo</w:t>
      </w:r>
      <w:r w:rsidRPr="00206B4E">
        <w:rPr>
          <w:rFonts w:ascii="Times New Roman" w:hAnsi="Times New Roman"/>
          <w:b/>
          <w:bCs/>
          <w:sz w:val="24"/>
          <w:szCs w:val="24"/>
        </w:rPr>
        <w:t xml:space="preserve"> </w:t>
      </w:r>
      <w:r w:rsidR="007366E8" w:rsidRPr="00206B4E">
        <w:rPr>
          <w:rFonts w:ascii="Times New Roman" w:hAnsi="Times New Roman"/>
          <w:b/>
          <w:bCs/>
          <w:sz w:val="24"/>
          <w:szCs w:val="24"/>
        </w:rPr>
        <w:t>2</w:t>
      </w:r>
      <w:r w:rsidRPr="00206B4E">
        <w:rPr>
          <w:rFonts w:ascii="Times New Roman" w:hAnsi="Times New Roman"/>
          <w:sz w:val="24"/>
          <w:szCs w:val="24"/>
        </w:rPr>
        <w:t xml:space="preserve"> introduce sanzioni </w:t>
      </w:r>
      <w:r w:rsidR="00E31F83" w:rsidRPr="00206B4E">
        <w:rPr>
          <w:rFonts w:ascii="Times New Roman" w:hAnsi="Times New Roman"/>
          <w:sz w:val="24"/>
          <w:szCs w:val="24"/>
        </w:rPr>
        <w:t>per l’omessa adozione e pubblicazione o incompletezza</w:t>
      </w:r>
      <w:r w:rsidR="003E237E" w:rsidRPr="00206B4E">
        <w:rPr>
          <w:rFonts w:ascii="Times New Roman" w:hAnsi="Times New Roman"/>
          <w:sz w:val="24"/>
          <w:szCs w:val="24"/>
        </w:rPr>
        <w:t>, da parte dell’ente locale,</w:t>
      </w:r>
      <w:r w:rsidR="00E31F83" w:rsidRPr="00206B4E">
        <w:rPr>
          <w:rFonts w:ascii="Times New Roman" w:hAnsi="Times New Roman"/>
          <w:sz w:val="24"/>
          <w:szCs w:val="24"/>
        </w:rPr>
        <w:t xml:space="preserve"> della ricog</w:t>
      </w:r>
      <w:r w:rsidR="00CB4720" w:rsidRPr="00206B4E">
        <w:rPr>
          <w:rFonts w:ascii="Times New Roman" w:hAnsi="Times New Roman"/>
          <w:sz w:val="24"/>
          <w:szCs w:val="24"/>
        </w:rPr>
        <w:t>n</w:t>
      </w:r>
      <w:r w:rsidR="00E31F83" w:rsidRPr="00206B4E">
        <w:rPr>
          <w:rFonts w:ascii="Times New Roman" w:hAnsi="Times New Roman"/>
          <w:sz w:val="24"/>
          <w:szCs w:val="24"/>
        </w:rPr>
        <w:t xml:space="preserve">izione </w:t>
      </w:r>
      <w:r w:rsidR="003E237E" w:rsidRPr="00206B4E">
        <w:rPr>
          <w:rFonts w:ascii="Times New Roman" w:hAnsi="Times New Roman"/>
          <w:sz w:val="24"/>
          <w:szCs w:val="24"/>
        </w:rPr>
        <w:t>periodica della situazione gestionale dei servizi pubblici locali di rilevanza economica</w:t>
      </w:r>
      <w:r w:rsidR="00BE2F4C" w:rsidRPr="00206B4E">
        <w:rPr>
          <w:rFonts w:ascii="Times New Roman" w:hAnsi="Times New Roman"/>
          <w:sz w:val="24"/>
          <w:szCs w:val="24"/>
        </w:rPr>
        <w:t>. A</w:t>
      </w:r>
      <w:r w:rsidR="003E315E">
        <w:rPr>
          <w:rFonts w:ascii="Times New Roman" w:hAnsi="Times New Roman"/>
          <w:sz w:val="24"/>
          <w:szCs w:val="24"/>
        </w:rPr>
        <w:t xml:space="preserve">l </w:t>
      </w:r>
      <w:r w:rsidR="00BE2F4C" w:rsidRPr="00206B4E">
        <w:rPr>
          <w:rFonts w:ascii="Times New Roman" w:hAnsi="Times New Roman"/>
          <w:sz w:val="24"/>
          <w:szCs w:val="24"/>
        </w:rPr>
        <w:t>riguardo, n</w:t>
      </w:r>
      <w:r w:rsidR="009A652A" w:rsidRPr="00206B4E">
        <w:rPr>
          <w:rFonts w:ascii="Times New Roman" w:hAnsi="Times New Roman"/>
          <w:sz w:val="24"/>
          <w:szCs w:val="24"/>
        </w:rPr>
        <w:t>ell’ambito dell’attività di monitoraggio</w:t>
      </w:r>
      <w:r w:rsidR="003E315E">
        <w:rPr>
          <w:rFonts w:ascii="Times New Roman" w:hAnsi="Times New Roman"/>
          <w:sz w:val="24"/>
          <w:szCs w:val="24"/>
        </w:rPr>
        <w:t xml:space="preserve">, ANAC ha </w:t>
      </w:r>
      <w:r w:rsidR="00BE2F4C" w:rsidRPr="00206B4E">
        <w:rPr>
          <w:rFonts w:ascii="Times New Roman" w:hAnsi="Times New Roman"/>
          <w:sz w:val="24"/>
          <w:szCs w:val="24"/>
        </w:rPr>
        <w:t>riscontrato</w:t>
      </w:r>
      <w:r w:rsidR="009A652A" w:rsidRPr="00206B4E">
        <w:rPr>
          <w:rFonts w:ascii="Times New Roman" w:hAnsi="Times New Roman"/>
          <w:sz w:val="24"/>
          <w:szCs w:val="24"/>
        </w:rPr>
        <w:t xml:space="preserve"> un elevato tasso di inottemperanza all’obbligo di adozione e pubblicazione delle suddette relazioni, pari al 58% dei Comuni a livello nazionale</w:t>
      </w:r>
      <w:r w:rsidR="00D93A05">
        <w:rPr>
          <w:rFonts w:ascii="Times New Roman" w:hAnsi="Times New Roman"/>
          <w:sz w:val="24"/>
          <w:szCs w:val="24"/>
        </w:rPr>
        <w:t xml:space="preserve"> che raggiungono </w:t>
      </w:r>
      <w:r w:rsidR="009A652A" w:rsidRPr="00206B4E">
        <w:rPr>
          <w:rFonts w:ascii="Times New Roman" w:hAnsi="Times New Roman"/>
          <w:sz w:val="24"/>
          <w:szCs w:val="24"/>
        </w:rPr>
        <w:t xml:space="preserve">punte del 64% </w:t>
      </w:r>
      <w:r w:rsidR="00D93A05">
        <w:rPr>
          <w:rFonts w:ascii="Times New Roman" w:hAnsi="Times New Roman"/>
          <w:sz w:val="24"/>
          <w:szCs w:val="24"/>
        </w:rPr>
        <w:t>nei Comuni del Sud</w:t>
      </w:r>
      <w:r w:rsidR="009A652A" w:rsidRPr="00206B4E">
        <w:rPr>
          <w:rFonts w:ascii="Times New Roman" w:hAnsi="Times New Roman"/>
          <w:sz w:val="24"/>
          <w:szCs w:val="24"/>
        </w:rPr>
        <w:t xml:space="preserve">. </w:t>
      </w:r>
    </w:p>
    <w:p w14:paraId="48FE5655" w14:textId="31931B82" w:rsidR="003E315E" w:rsidRDefault="009A652A" w:rsidP="00746C3F">
      <w:pPr>
        <w:spacing w:after="60" w:line="276" w:lineRule="auto"/>
        <w:jc w:val="both"/>
        <w:rPr>
          <w:rFonts w:ascii="Times New Roman" w:hAnsi="Times New Roman"/>
          <w:sz w:val="24"/>
          <w:szCs w:val="24"/>
        </w:rPr>
      </w:pPr>
      <w:r w:rsidRPr="00206B4E">
        <w:rPr>
          <w:rFonts w:ascii="Times New Roman" w:hAnsi="Times New Roman"/>
          <w:sz w:val="24"/>
          <w:szCs w:val="24"/>
        </w:rPr>
        <w:lastRenderedPageBreak/>
        <w:t xml:space="preserve">Al fine di superare tale criticità, </w:t>
      </w:r>
      <w:r w:rsidR="001B7C61" w:rsidRPr="00206B4E">
        <w:rPr>
          <w:rFonts w:ascii="Times New Roman" w:hAnsi="Times New Roman"/>
          <w:sz w:val="24"/>
          <w:szCs w:val="24"/>
        </w:rPr>
        <w:t>si</w:t>
      </w:r>
      <w:r w:rsidRPr="00206B4E">
        <w:rPr>
          <w:rFonts w:ascii="Times New Roman" w:hAnsi="Times New Roman"/>
          <w:sz w:val="24"/>
          <w:szCs w:val="24"/>
        </w:rPr>
        <w:t xml:space="preserve"> </w:t>
      </w:r>
      <w:r w:rsidR="00440589" w:rsidRPr="00206B4E">
        <w:rPr>
          <w:rFonts w:ascii="Times New Roman" w:hAnsi="Times New Roman"/>
          <w:sz w:val="24"/>
          <w:szCs w:val="24"/>
        </w:rPr>
        <w:t>è ritenuta</w:t>
      </w:r>
      <w:r w:rsidRPr="00206B4E">
        <w:rPr>
          <w:rFonts w:ascii="Times New Roman" w:hAnsi="Times New Roman"/>
          <w:sz w:val="24"/>
          <w:szCs w:val="24"/>
        </w:rPr>
        <w:t xml:space="preserve"> necessaria l’introduzione di sanzioni in analogia con quanto già stabilito dal </w:t>
      </w:r>
      <w:r w:rsidR="005377FF" w:rsidRPr="00206B4E">
        <w:rPr>
          <w:rFonts w:ascii="Times New Roman" w:hAnsi="Times New Roman"/>
          <w:sz w:val="24"/>
          <w:szCs w:val="24"/>
        </w:rPr>
        <w:t xml:space="preserve">d.lgs. </w:t>
      </w:r>
      <w:r w:rsidR="00685EE6">
        <w:rPr>
          <w:rFonts w:ascii="Times New Roman" w:hAnsi="Times New Roman"/>
          <w:sz w:val="24"/>
          <w:szCs w:val="24"/>
        </w:rPr>
        <w:t xml:space="preserve">19 agosto 2016, n. </w:t>
      </w:r>
      <w:r w:rsidR="005377FF" w:rsidRPr="00206B4E">
        <w:rPr>
          <w:rFonts w:ascii="Times New Roman" w:hAnsi="Times New Roman"/>
          <w:sz w:val="24"/>
          <w:szCs w:val="24"/>
        </w:rPr>
        <w:t xml:space="preserve">175 </w:t>
      </w:r>
      <w:r w:rsidRPr="00206B4E">
        <w:rPr>
          <w:rFonts w:ascii="Times New Roman" w:hAnsi="Times New Roman"/>
          <w:sz w:val="24"/>
          <w:szCs w:val="24"/>
        </w:rPr>
        <w:t>per la mancata adozione</w:t>
      </w:r>
      <w:r w:rsidR="00A616F3" w:rsidRPr="00206B4E">
        <w:rPr>
          <w:rFonts w:ascii="Times New Roman" w:hAnsi="Times New Roman"/>
          <w:sz w:val="24"/>
          <w:szCs w:val="24"/>
        </w:rPr>
        <w:t>, da parte</w:t>
      </w:r>
      <w:r w:rsidR="007E7D77" w:rsidRPr="00206B4E">
        <w:rPr>
          <w:rFonts w:ascii="Times New Roman" w:hAnsi="Times New Roman"/>
          <w:sz w:val="24"/>
          <w:szCs w:val="24"/>
        </w:rPr>
        <w:t xml:space="preserve"> degli enti locali,</w:t>
      </w:r>
      <w:r w:rsidRPr="00206B4E">
        <w:rPr>
          <w:rFonts w:ascii="Times New Roman" w:hAnsi="Times New Roman"/>
          <w:sz w:val="24"/>
          <w:szCs w:val="24"/>
        </w:rPr>
        <w:t xml:space="preserve"> del piano annuale di revisione delle partecipazioni pubbliche.</w:t>
      </w:r>
      <w:r w:rsidR="004534F9" w:rsidRPr="00206B4E">
        <w:rPr>
          <w:rFonts w:ascii="Times New Roman" w:hAnsi="Times New Roman"/>
          <w:sz w:val="24"/>
          <w:szCs w:val="24"/>
        </w:rPr>
        <w:t xml:space="preserve"> </w:t>
      </w:r>
    </w:p>
    <w:p w14:paraId="33D4BB9D" w14:textId="59EF1883" w:rsidR="003E315E" w:rsidRPr="00AB608D" w:rsidRDefault="003E315E" w:rsidP="00746C3F">
      <w:pPr>
        <w:spacing w:after="60" w:line="276" w:lineRule="auto"/>
        <w:jc w:val="both"/>
        <w:rPr>
          <w:rFonts w:ascii="Times New Roman" w:hAnsi="Times New Roman"/>
          <w:color w:val="000000" w:themeColor="text1"/>
          <w:sz w:val="24"/>
          <w:szCs w:val="24"/>
        </w:rPr>
      </w:pPr>
      <w:r w:rsidRPr="00AB608D">
        <w:rPr>
          <w:rFonts w:ascii="Times New Roman" w:hAnsi="Times New Roman"/>
          <w:color w:val="000000" w:themeColor="text1"/>
          <w:sz w:val="24"/>
          <w:szCs w:val="24"/>
        </w:rPr>
        <w:t>L</w:t>
      </w:r>
      <w:r w:rsidR="005A47EC" w:rsidRPr="00AB608D">
        <w:rPr>
          <w:rFonts w:ascii="Times New Roman" w:hAnsi="Times New Roman"/>
          <w:color w:val="000000" w:themeColor="text1"/>
          <w:sz w:val="24"/>
          <w:szCs w:val="24"/>
        </w:rPr>
        <w:t xml:space="preserve">a disposizione </w:t>
      </w:r>
      <w:r w:rsidR="0074343A" w:rsidRPr="00AB608D">
        <w:rPr>
          <w:rFonts w:ascii="Times New Roman" w:hAnsi="Times New Roman"/>
          <w:color w:val="000000" w:themeColor="text1"/>
          <w:sz w:val="24"/>
          <w:szCs w:val="24"/>
        </w:rPr>
        <w:t xml:space="preserve">reca modifiche </w:t>
      </w:r>
      <w:r w:rsidR="00A57A8A" w:rsidRPr="00AB608D">
        <w:rPr>
          <w:rFonts w:ascii="Times New Roman" w:hAnsi="Times New Roman"/>
          <w:color w:val="000000" w:themeColor="text1"/>
          <w:sz w:val="24"/>
          <w:szCs w:val="24"/>
        </w:rPr>
        <w:t>al</w:t>
      </w:r>
      <w:r w:rsidR="0074343A" w:rsidRPr="00AB608D">
        <w:rPr>
          <w:rFonts w:ascii="Times New Roman" w:hAnsi="Times New Roman"/>
          <w:color w:val="000000" w:themeColor="text1"/>
          <w:sz w:val="24"/>
          <w:szCs w:val="24"/>
        </w:rPr>
        <w:t xml:space="preserve"> d.lgs.</w:t>
      </w:r>
      <w:r w:rsidR="00FB0128" w:rsidRPr="00AB608D">
        <w:rPr>
          <w:rFonts w:ascii="Times New Roman" w:hAnsi="Times New Roman"/>
          <w:color w:val="000000" w:themeColor="text1"/>
          <w:sz w:val="24"/>
          <w:szCs w:val="24"/>
        </w:rPr>
        <w:t xml:space="preserve"> 23 dicembre 2022, n.</w:t>
      </w:r>
      <w:r w:rsidR="0074343A" w:rsidRPr="00AB608D">
        <w:rPr>
          <w:rFonts w:ascii="Times New Roman" w:hAnsi="Times New Roman"/>
          <w:color w:val="000000" w:themeColor="text1"/>
          <w:sz w:val="24"/>
          <w:szCs w:val="24"/>
        </w:rPr>
        <w:t xml:space="preserve"> 201, introducendo</w:t>
      </w:r>
      <w:r w:rsidR="00A57A8A" w:rsidRPr="00AB608D">
        <w:rPr>
          <w:rFonts w:ascii="Times New Roman" w:hAnsi="Times New Roman"/>
          <w:color w:val="000000" w:themeColor="text1"/>
          <w:sz w:val="24"/>
          <w:szCs w:val="24"/>
        </w:rPr>
        <w:t xml:space="preserve"> l’articolo 31-bis</w:t>
      </w:r>
      <w:r w:rsidR="00C03EDE" w:rsidRPr="00AB608D">
        <w:rPr>
          <w:rFonts w:ascii="Times New Roman" w:hAnsi="Times New Roman"/>
          <w:color w:val="000000" w:themeColor="text1"/>
          <w:sz w:val="24"/>
          <w:szCs w:val="24"/>
        </w:rPr>
        <w:t xml:space="preserve">, </w:t>
      </w:r>
      <w:r w:rsidR="003E09B8" w:rsidRPr="00AB608D">
        <w:rPr>
          <w:rFonts w:ascii="Times New Roman" w:hAnsi="Times New Roman"/>
          <w:color w:val="000000" w:themeColor="text1"/>
          <w:sz w:val="24"/>
          <w:szCs w:val="24"/>
        </w:rPr>
        <w:t>con il</w:t>
      </w:r>
      <w:r w:rsidR="00C03EDE" w:rsidRPr="00AB608D">
        <w:rPr>
          <w:rFonts w:ascii="Times New Roman" w:hAnsi="Times New Roman"/>
          <w:color w:val="000000" w:themeColor="text1"/>
          <w:sz w:val="24"/>
          <w:szCs w:val="24"/>
        </w:rPr>
        <w:t xml:space="preserve"> quale </w:t>
      </w:r>
      <w:r w:rsidR="00E935DF" w:rsidRPr="00AB608D">
        <w:rPr>
          <w:rFonts w:ascii="Times New Roman" w:hAnsi="Times New Roman"/>
          <w:color w:val="000000" w:themeColor="text1"/>
          <w:sz w:val="24"/>
          <w:szCs w:val="24"/>
        </w:rPr>
        <w:t>si prevede</w:t>
      </w:r>
      <w:r w:rsidR="00C03EDE" w:rsidRPr="00AB608D">
        <w:rPr>
          <w:rFonts w:ascii="Times New Roman" w:hAnsi="Times New Roman"/>
          <w:color w:val="000000" w:themeColor="text1"/>
          <w:sz w:val="24"/>
          <w:szCs w:val="24"/>
        </w:rPr>
        <w:t xml:space="preserve"> l’applicazione</w:t>
      </w:r>
      <w:r w:rsidR="003E09B8" w:rsidRPr="00AB608D">
        <w:rPr>
          <w:rFonts w:ascii="Times New Roman" w:hAnsi="Times New Roman"/>
          <w:color w:val="000000" w:themeColor="text1"/>
          <w:sz w:val="24"/>
          <w:szCs w:val="24"/>
        </w:rPr>
        <w:t xml:space="preserve"> agli enti locali</w:t>
      </w:r>
      <w:r w:rsidR="00C03EDE" w:rsidRPr="00AB608D">
        <w:rPr>
          <w:rFonts w:ascii="Times New Roman" w:hAnsi="Times New Roman"/>
          <w:color w:val="000000" w:themeColor="text1"/>
          <w:sz w:val="24"/>
          <w:szCs w:val="24"/>
        </w:rPr>
        <w:t xml:space="preserve"> dell</w:t>
      </w:r>
      <w:r w:rsidR="0004030F" w:rsidRPr="00AB608D">
        <w:rPr>
          <w:rFonts w:ascii="Times New Roman" w:hAnsi="Times New Roman"/>
          <w:color w:val="000000" w:themeColor="text1"/>
          <w:sz w:val="24"/>
          <w:szCs w:val="24"/>
        </w:rPr>
        <w:t>a</w:t>
      </w:r>
      <w:r w:rsidR="00C03EDE" w:rsidRPr="00AB608D">
        <w:rPr>
          <w:rFonts w:ascii="Times New Roman" w:hAnsi="Times New Roman"/>
          <w:color w:val="000000" w:themeColor="text1"/>
          <w:sz w:val="24"/>
          <w:szCs w:val="24"/>
        </w:rPr>
        <w:t xml:space="preserve"> sanzion</w:t>
      </w:r>
      <w:r w:rsidR="0004030F" w:rsidRPr="00AB608D">
        <w:rPr>
          <w:rFonts w:ascii="Times New Roman" w:hAnsi="Times New Roman"/>
          <w:color w:val="000000" w:themeColor="text1"/>
          <w:sz w:val="24"/>
          <w:szCs w:val="24"/>
        </w:rPr>
        <w:t>e</w:t>
      </w:r>
      <w:r w:rsidR="00C03EDE" w:rsidRPr="00AB608D">
        <w:rPr>
          <w:rFonts w:ascii="Times New Roman" w:hAnsi="Times New Roman"/>
          <w:color w:val="000000" w:themeColor="text1"/>
          <w:sz w:val="24"/>
          <w:szCs w:val="24"/>
        </w:rPr>
        <w:t xml:space="preserve"> </w:t>
      </w:r>
      <w:r w:rsidR="003F756F" w:rsidRPr="00AB608D">
        <w:rPr>
          <w:rFonts w:ascii="Times New Roman" w:hAnsi="Times New Roman"/>
          <w:color w:val="000000" w:themeColor="text1"/>
          <w:sz w:val="24"/>
          <w:szCs w:val="24"/>
        </w:rPr>
        <w:t>amministrativa (previst</w:t>
      </w:r>
      <w:r w:rsidR="0004030F" w:rsidRPr="00AB608D">
        <w:rPr>
          <w:rFonts w:ascii="Times New Roman" w:hAnsi="Times New Roman"/>
          <w:color w:val="000000" w:themeColor="text1"/>
          <w:sz w:val="24"/>
          <w:szCs w:val="24"/>
        </w:rPr>
        <w:t>a</w:t>
      </w:r>
      <w:r w:rsidR="003F756F" w:rsidRPr="00AB608D">
        <w:rPr>
          <w:rFonts w:ascii="Times New Roman" w:hAnsi="Times New Roman"/>
          <w:color w:val="000000" w:themeColor="text1"/>
          <w:sz w:val="24"/>
          <w:szCs w:val="24"/>
        </w:rPr>
        <w:t xml:space="preserve"> dall’articolo 20, comma 7, del TUSP) del pagamento di una somma da un minimo di euro 5.000 a un massimo di euro 500.000, in caso di</w:t>
      </w:r>
      <w:r w:rsidRPr="00AB608D">
        <w:rPr>
          <w:rFonts w:ascii="Times New Roman" w:hAnsi="Times New Roman"/>
          <w:color w:val="000000" w:themeColor="text1"/>
          <w:sz w:val="24"/>
          <w:szCs w:val="24"/>
        </w:rPr>
        <w:t>:</w:t>
      </w:r>
    </w:p>
    <w:p w14:paraId="1F3FBD5F" w14:textId="448C3993" w:rsidR="003E315E" w:rsidRPr="00AB608D" w:rsidRDefault="00F84B7E" w:rsidP="003E315E">
      <w:pPr>
        <w:pStyle w:val="Paragrafoelenco"/>
        <w:numPr>
          <w:ilvl w:val="0"/>
          <w:numId w:val="9"/>
        </w:numPr>
        <w:spacing w:after="60" w:line="276" w:lineRule="auto"/>
        <w:jc w:val="both"/>
        <w:rPr>
          <w:rFonts w:ascii="Times New Roman" w:hAnsi="Times New Roman"/>
          <w:color w:val="000000" w:themeColor="text1"/>
          <w:sz w:val="24"/>
          <w:szCs w:val="24"/>
        </w:rPr>
      </w:pPr>
      <w:r w:rsidRPr="00AB608D">
        <w:rPr>
          <w:rFonts w:ascii="Times New Roman" w:hAnsi="Times New Roman"/>
          <w:color w:val="000000" w:themeColor="text1"/>
          <w:sz w:val="24"/>
          <w:szCs w:val="24"/>
        </w:rPr>
        <w:t>mancata</w:t>
      </w:r>
      <w:r w:rsidR="0082524E" w:rsidRPr="00AB608D">
        <w:rPr>
          <w:rFonts w:ascii="Times New Roman" w:hAnsi="Times New Roman"/>
          <w:color w:val="000000" w:themeColor="text1"/>
          <w:sz w:val="24"/>
          <w:szCs w:val="24"/>
        </w:rPr>
        <w:t xml:space="preserve"> adozione </w:t>
      </w:r>
      <w:r w:rsidR="00E51AAF" w:rsidRPr="00AB608D">
        <w:rPr>
          <w:rFonts w:ascii="Times New Roman" w:hAnsi="Times New Roman"/>
          <w:color w:val="000000" w:themeColor="text1"/>
          <w:sz w:val="24"/>
          <w:szCs w:val="24"/>
        </w:rPr>
        <w:t xml:space="preserve">della relazione </w:t>
      </w:r>
      <w:r w:rsidR="0034710B" w:rsidRPr="00AB608D">
        <w:rPr>
          <w:rFonts w:ascii="Times New Roman" w:hAnsi="Times New Roman"/>
          <w:color w:val="000000" w:themeColor="text1"/>
          <w:sz w:val="24"/>
          <w:szCs w:val="24"/>
        </w:rPr>
        <w:t xml:space="preserve">prevista dall’articolo 30, comma 2, </w:t>
      </w:r>
      <w:r w:rsidR="00E51AAF" w:rsidRPr="00AB608D">
        <w:rPr>
          <w:rFonts w:ascii="Times New Roman" w:hAnsi="Times New Roman"/>
          <w:color w:val="000000" w:themeColor="text1"/>
          <w:sz w:val="24"/>
          <w:szCs w:val="24"/>
        </w:rPr>
        <w:t>contenente la ricognizione di cui all’art</w:t>
      </w:r>
      <w:r w:rsidR="0034710B" w:rsidRPr="00AB608D">
        <w:rPr>
          <w:rFonts w:ascii="Times New Roman" w:hAnsi="Times New Roman"/>
          <w:color w:val="000000" w:themeColor="text1"/>
          <w:sz w:val="24"/>
          <w:szCs w:val="24"/>
        </w:rPr>
        <w:t>icolo</w:t>
      </w:r>
      <w:r w:rsidR="00E51AAF" w:rsidRPr="00AB608D">
        <w:rPr>
          <w:rFonts w:ascii="Times New Roman" w:hAnsi="Times New Roman"/>
          <w:color w:val="000000" w:themeColor="text1"/>
          <w:sz w:val="24"/>
          <w:szCs w:val="24"/>
        </w:rPr>
        <w:t xml:space="preserve"> 30, comma 1</w:t>
      </w:r>
      <w:r w:rsidR="003E315E" w:rsidRPr="00AB608D">
        <w:rPr>
          <w:rFonts w:ascii="Times New Roman" w:hAnsi="Times New Roman"/>
          <w:color w:val="000000" w:themeColor="text1"/>
          <w:sz w:val="24"/>
          <w:szCs w:val="24"/>
        </w:rPr>
        <w:t>;</w:t>
      </w:r>
    </w:p>
    <w:p w14:paraId="06415D53" w14:textId="52898A07" w:rsidR="003E315E" w:rsidRPr="00AB608D" w:rsidRDefault="00E51AAF" w:rsidP="003E315E">
      <w:pPr>
        <w:pStyle w:val="Paragrafoelenco"/>
        <w:numPr>
          <w:ilvl w:val="0"/>
          <w:numId w:val="9"/>
        </w:numPr>
        <w:spacing w:after="60" w:line="276" w:lineRule="auto"/>
        <w:jc w:val="both"/>
        <w:rPr>
          <w:rFonts w:ascii="Times New Roman" w:hAnsi="Times New Roman"/>
          <w:color w:val="000000" w:themeColor="text1"/>
          <w:sz w:val="24"/>
          <w:szCs w:val="24"/>
        </w:rPr>
      </w:pPr>
      <w:r w:rsidRPr="00AB608D">
        <w:rPr>
          <w:rFonts w:ascii="Times New Roman" w:hAnsi="Times New Roman"/>
          <w:color w:val="000000" w:themeColor="text1"/>
          <w:sz w:val="24"/>
          <w:szCs w:val="24"/>
        </w:rPr>
        <w:t>mancata pubblicazione della stessa ai sensi dell’art</w:t>
      </w:r>
      <w:r w:rsidR="0034710B" w:rsidRPr="00AB608D">
        <w:rPr>
          <w:rFonts w:ascii="Times New Roman" w:hAnsi="Times New Roman"/>
          <w:color w:val="000000" w:themeColor="text1"/>
          <w:sz w:val="24"/>
          <w:szCs w:val="24"/>
        </w:rPr>
        <w:t>icolo</w:t>
      </w:r>
      <w:r w:rsidRPr="00AB608D">
        <w:rPr>
          <w:rFonts w:ascii="Times New Roman" w:hAnsi="Times New Roman"/>
          <w:color w:val="000000" w:themeColor="text1"/>
          <w:sz w:val="24"/>
          <w:szCs w:val="24"/>
        </w:rPr>
        <w:t xml:space="preserve"> 31, comma 2</w:t>
      </w:r>
      <w:r w:rsidR="003E315E" w:rsidRPr="00AB608D">
        <w:rPr>
          <w:rFonts w:ascii="Times New Roman" w:hAnsi="Times New Roman"/>
          <w:color w:val="000000" w:themeColor="text1"/>
          <w:sz w:val="24"/>
          <w:szCs w:val="24"/>
        </w:rPr>
        <w:t>;</w:t>
      </w:r>
    </w:p>
    <w:p w14:paraId="47FB82C0" w14:textId="3F19B9A3" w:rsidR="003E315E" w:rsidRPr="00AB608D" w:rsidRDefault="000C0C17" w:rsidP="003E315E">
      <w:pPr>
        <w:pStyle w:val="Paragrafoelenco"/>
        <w:numPr>
          <w:ilvl w:val="0"/>
          <w:numId w:val="9"/>
        </w:numPr>
        <w:spacing w:after="60" w:line="276" w:lineRule="auto"/>
        <w:jc w:val="both"/>
        <w:rPr>
          <w:rFonts w:ascii="Times New Roman" w:hAnsi="Times New Roman"/>
          <w:color w:val="000000" w:themeColor="text1"/>
          <w:sz w:val="24"/>
          <w:szCs w:val="24"/>
        </w:rPr>
      </w:pPr>
      <w:r w:rsidRPr="00AB608D">
        <w:rPr>
          <w:rFonts w:ascii="Times New Roman" w:hAnsi="Times New Roman"/>
          <w:color w:val="000000" w:themeColor="text1"/>
          <w:sz w:val="24"/>
          <w:szCs w:val="24"/>
        </w:rPr>
        <w:t>mancata adozione da parte dell’ente locale dell’atto di indirizzo ai sensi dell’articolo 3</w:t>
      </w:r>
      <w:r w:rsidR="007D488A" w:rsidRPr="00AB608D">
        <w:rPr>
          <w:rFonts w:ascii="Times New Roman" w:hAnsi="Times New Roman"/>
          <w:color w:val="000000" w:themeColor="text1"/>
          <w:sz w:val="24"/>
          <w:szCs w:val="24"/>
        </w:rPr>
        <w:t>0</w:t>
      </w:r>
      <w:r w:rsidRPr="00AB608D">
        <w:rPr>
          <w:rFonts w:ascii="Times New Roman" w:hAnsi="Times New Roman"/>
          <w:color w:val="000000" w:themeColor="text1"/>
          <w:sz w:val="24"/>
          <w:szCs w:val="24"/>
        </w:rPr>
        <w:t>, comma 1</w:t>
      </w:r>
      <w:r w:rsidR="007B1AAE" w:rsidRPr="00AB608D">
        <w:rPr>
          <w:rFonts w:ascii="Times New Roman" w:hAnsi="Times New Roman"/>
          <w:color w:val="000000" w:themeColor="text1"/>
          <w:sz w:val="24"/>
          <w:szCs w:val="24"/>
        </w:rPr>
        <w:t>-</w:t>
      </w:r>
      <w:r w:rsidRPr="00AB608D">
        <w:rPr>
          <w:rFonts w:ascii="Times New Roman" w:hAnsi="Times New Roman"/>
          <w:color w:val="000000" w:themeColor="text1"/>
          <w:sz w:val="24"/>
          <w:szCs w:val="24"/>
        </w:rPr>
        <w:t>bis</w:t>
      </w:r>
      <w:r w:rsidR="00ED3236" w:rsidRPr="00AB608D">
        <w:rPr>
          <w:rFonts w:ascii="Times New Roman" w:hAnsi="Times New Roman"/>
          <w:color w:val="000000" w:themeColor="text1"/>
          <w:sz w:val="24"/>
          <w:szCs w:val="24"/>
        </w:rPr>
        <w:t xml:space="preserve"> (</w:t>
      </w:r>
      <w:r w:rsidR="00786C60" w:rsidRPr="00AB608D">
        <w:rPr>
          <w:rFonts w:ascii="Times New Roman" w:hAnsi="Times New Roman"/>
          <w:color w:val="000000" w:themeColor="text1"/>
          <w:sz w:val="24"/>
          <w:szCs w:val="24"/>
        </w:rPr>
        <w:t>introdotto con l’art. 1 della presente legge</w:t>
      </w:r>
      <w:r w:rsidR="00ED3236" w:rsidRPr="00AB608D">
        <w:rPr>
          <w:rFonts w:ascii="Times New Roman" w:hAnsi="Times New Roman"/>
          <w:color w:val="000000" w:themeColor="text1"/>
          <w:sz w:val="24"/>
          <w:szCs w:val="24"/>
        </w:rPr>
        <w:t>)</w:t>
      </w:r>
      <w:r w:rsidRPr="00AB608D">
        <w:rPr>
          <w:rFonts w:ascii="Times New Roman" w:hAnsi="Times New Roman"/>
          <w:color w:val="000000" w:themeColor="text1"/>
          <w:sz w:val="24"/>
          <w:szCs w:val="24"/>
        </w:rPr>
        <w:t>.</w:t>
      </w:r>
      <w:r w:rsidR="006252CA" w:rsidRPr="00AB608D">
        <w:rPr>
          <w:rFonts w:ascii="Times New Roman" w:hAnsi="Times New Roman"/>
          <w:color w:val="000000" w:themeColor="text1"/>
          <w:sz w:val="24"/>
          <w:szCs w:val="24"/>
        </w:rPr>
        <w:t xml:space="preserve"> </w:t>
      </w:r>
    </w:p>
    <w:p w14:paraId="57B311CE" w14:textId="4F33DD60" w:rsidR="00F84B7E" w:rsidRPr="00AB608D" w:rsidRDefault="006252CA" w:rsidP="003E315E">
      <w:pPr>
        <w:spacing w:after="60" w:line="276" w:lineRule="auto"/>
        <w:jc w:val="both"/>
        <w:rPr>
          <w:rFonts w:ascii="Times New Roman" w:hAnsi="Times New Roman"/>
          <w:color w:val="000000" w:themeColor="text1"/>
          <w:sz w:val="24"/>
          <w:szCs w:val="24"/>
        </w:rPr>
      </w:pPr>
      <w:r w:rsidRPr="00AB608D">
        <w:rPr>
          <w:rFonts w:ascii="Times New Roman" w:hAnsi="Times New Roman"/>
          <w:color w:val="000000" w:themeColor="text1"/>
          <w:sz w:val="24"/>
          <w:szCs w:val="24"/>
        </w:rPr>
        <w:t>Con il medesimo articolo si prevede, infine, che in caso di</w:t>
      </w:r>
      <w:r w:rsidR="003C5E24" w:rsidRPr="00AB608D">
        <w:rPr>
          <w:rFonts w:ascii="Times New Roman" w:hAnsi="Times New Roman"/>
          <w:color w:val="000000" w:themeColor="text1"/>
          <w:sz w:val="24"/>
          <w:szCs w:val="24"/>
        </w:rPr>
        <w:t xml:space="preserve"> adozione da parte dell’ente locale di una relazione incompleta e tale da non consentirne una compiuta valutazione, ANAC </w:t>
      </w:r>
      <w:r w:rsidR="000B01C8" w:rsidRPr="00AB608D">
        <w:rPr>
          <w:rFonts w:ascii="Times New Roman" w:hAnsi="Times New Roman"/>
          <w:color w:val="000000" w:themeColor="text1"/>
          <w:sz w:val="24"/>
          <w:szCs w:val="24"/>
        </w:rPr>
        <w:t xml:space="preserve">concede all’ente locale interessato </w:t>
      </w:r>
      <w:r w:rsidR="0004030F" w:rsidRPr="00AB608D">
        <w:rPr>
          <w:rFonts w:ascii="Times New Roman" w:hAnsi="Times New Roman"/>
          <w:color w:val="000000" w:themeColor="text1"/>
          <w:sz w:val="24"/>
          <w:szCs w:val="24"/>
        </w:rPr>
        <w:t xml:space="preserve">un </w:t>
      </w:r>
      <w:r w:rsidR="000B01C8" w:rsidRPr="00AB608D">
        <w:rPr>
          <w:rFonts w:ascii="Times New Roman" w:hAnsi="Times New Roman"/>
          <w:color w:val="000000" w:themeColor="text1"/>
          <w:sz w:val="24"/>
          <w:szCs w:val="24"/>
        </w:rPr>
        <w:t>termine perentorio</w:t>
      </w:r>
      <w:r w:rsidR="0004030F" w:rsidRPr="00AB608D">
        <w:rPr>
          <w:rFonts w:ascii="Times New Roman" w:hAnsi="Times New Roman"/>
          <w:color w:val="000000" w:themeColor="text1"/>
          <w:sz w:val="24"/>
          <w:szCs w:val="24"/>
        </w:rPr>
        <w:t>, non superiore a</w:t>
      </w:r>
      <w:r w:rsidR="000B01C8" w:rsidRPr="00AB608D">
        <w:rPr>
          <w:rFonts w:ascii="Times New Roman" w:hAnsi="Times New Roman"/>
          <w:color w:val="000000" w:themeColor="text1"/>
          <w:sz w:val="24"/>
          <w:szCs w:val="24"/>
        </w:rPr>
        <w:t xml:space="preserve"> 30 giorni</w:t>
      </w:r>
      <w:r w:rsidR="0004030F" w:rsidRPr="00AB608D">
        <w:rPr>
          <w:rFonts w:ascii="Times New Roman" w:hAnsi="Times New Roman"/>
          <w:color w:val="000000" w:themeColor="text1"/>
          <w:sz w:val="24"/>
          <w:szCs w:val="24"/>
        </w:rPr>
        <w:t>,</w:t>
      </w:r>
      <w:r w:rsidR="000B01C8" w:rsidRPr="00AB608D">
        <w:rPr>
          <w:rFonts w:ascii="Times New Roman" w:hAnsi="Times New Roman"/>
          <w:color w:val="000000" w:themeColor="text1"/>
          <w:sz w:val="24"/>
          <w:szCs w:val="24"/>
        </w:rPr>
        <w:t xml:space="preserve"> per </w:t>
      </w:r>
      <w:r w:rsidR="00BE579E" w:rsidRPr="00AB608D">
        <w:rPr>
          <w:rFonts w:ascii="Times New Roman" w:hAnsi="Times New Roman"/>
          <w:color w:val="000000" w:themeColor="text1"/>
          <w:sz w:val="24"/>
          <w:szCs w:val="24"/>
        </w:rPr>
        <w:t xml:space="preserve">le </w:t>
      </w:r>
      <w:r w:rsidR="007D2C19" w:rsidRPr="00AB608D">
        <w:rPr>
          <w:rFonts w:ascii="Times New Roman" w:hAnsi="Times New Roman"/>
          <w:color w:val="000000" w:themeColor="text1"/>
          <w:sz w:val="24"/>
          <w:szCs w:val="24"/>
        </w:rPr>
        <w:t>necessarie</w:t>
      </w:r>
      <w:r w:rsidR="00BE579E" w:rsidRPr="00AB608D">
        <w:rPr>
          <w:rFonts w:ascii="Times New Roman" w:hAnsi="Times New Roman"/>
          <w:color w:val="000000" w:themeColor="text1"/>
          <w:sz w:val="24"/>
          <w:szCs w:val="24"/>
        </w:rPr>
        <w:t xml:space="preserve"> integrazioni, decorso il quale</w:t>
      </w:r>
      <w:r w:rsidR="00417920" w:rsidRPr="00AB608D">
        <w:rPr>
          <w:rFonts w:ascii="Times New Roman" w:hAnsi="Times New Roman"/>
          <w:color w:val="000000" w:themeColor="text1"/>
          <w:sz w:val="24"/>
          <w:szCs w:val="24"/>
        </w:rPr>
        <w:t xml:space="preserve"> </w:t>
      </w:r>
      <w:r w:rsidR="003C5E24" w:rsidRPr="00AB608D">
        <w:rPr>
          <w:rFonts w:ascii="Times New Roman" w:hAnsi="Times New Roman"/>
          <w:color w:val="000000" w:themeColor="text1"/>
          <w:sz w:val="24"/>
          <w:szCs w:val="24"/>
        </w:rPr>
        <w:t xml:space="preserve">ANAC applica la sanzione pecuniaria </w:t>
      </w:r>
      <w:r w:rsidR="003F756F" w:rsidRPr="00AB608D">
        <w:rPr>
          <w:rFonts w:ascii="Times New Roman" w:hAnsi="Times New Roman"/>
          <w:color w:val="000000" w:themeColor="text1"/>
          <w:sz w:val="24"/>
          <w:szCs w:val="24"/>
        </w:rPr>
        <w:t>richiamata.</w:t>
      </w:r>
    </w:p>
    <w:p w14:paraId="148FDBAE" w14:textId="63030081" w:rsidR="00F30A7E" w:rsidRPr="00206B4E" w:rsidRDefault="00F30A7E" w:rsidP="00F30A7E">
      <w:pPr>
        <w:autoSpaceDE w:val="0"/>
        <w:spacing w:after="60" w:line="276" w:lineRule="auto"/>
        <w:jc w:val="both"/>
        <w:rPr>
          <w:rFonts w:ascii="Times New Roman" w:hAnsi="Times New Roman"/>
          <w:sz w:val="24"/>
          <w:szCs w:val="24"/>
        </w:rPr>
      </w:pPr>
      <w:r w:rsidRPr="00206B4E">
        <w:rPr>
          <w:rFonts w:ascii="Times New Roman" w:hAnsi="Times New Roman"/>
          <w:b/>
          <w:bCs/>
          <w:sz w:val="24"/>
          <w:szCs w:val="24"/>
        </w:rPr>
        <w:t xml:space="preserve">L’articolo </w:t>
      </w:r>
      <w:r w:rsidR="00BB460C">
        <w:rPr>
          <w:rFonts w:ascii="Times New Roman" w:hAnsi="Times New Roman"/>
          <w:b/>
          <w:bCs/>
          <w:sz w:val="24"/>
          <w:szCs w:val="24"/>
        </w:rPr>
        <w:t>3</w:t>
      </w:r>
      <w:r w:rsidR="00BB460C" w:rsidRPr="00206B4E">
        <w:rPr>
          <w:rFonts w:ascii="Times New Roman" w:hAnsi="Times New Roman"/>
          <w:sz w:val="24"/>
          <w:szCs w:val="24"/>
        </w:rPr>
        <w:t xml:space="preserve"> </w:t>
      </w:r>
      <w:r w:rsidRPr="00206B4E">
        <w:rPr>
          <w:rFonts w:ascii="Times New Roman" w:hAnsi="Times New Roman"/>
          <w:sz w:val="24"/>
          <w:szCs w:val="24"/>
        </w:rPr>
        <w:t>interviene in materia di green economy, in particolare sulla disciplina riguardante la realizzazione di punti e stazioni di ricarica di veicoli elettrici, al fine di garantire uno sviluppo efficiente del mercato della mobilità elettrica e assicurare agli utenti condizioni concorrenziali. Come noto, lo sviluppo della mobilità elettrica in Italia e, con essa, dei punti di ricarica accessibili al pubblico, è un processo tuttora in larga parte in corso. In particolare, nella primavera 2024 risultano installati circa 55.000 punti di ricarica, a fronte di circa 250.000 veicoli, mentre le previsioni effettuate dall’associazione di categoria Motus-E si attestano su almeno 115.000 punti di ricarica e 3,7 milioni di veicoli nel 2030. Gli obiettivi di crescita del settore sono perseguiti anche con un’intensa infrastrutturazione, facilitata da forme di sovvenzionamento, tra cui quelle dell’UE (tramite il PNRR e altri fondi).</w:t>
      </w:r>
    </w:p>
    <w:p w14:paraId="6DEB6412" w14:textId="77777777" w:rsidR="00F30A7E" w:rsidRPr="00206B4E" w:rsidRDefault="00F30A7E" w:rsidP="00F30A7E">
      <w:pPr>
        <w:autoSpaceDE w:val="0"/>
        <w:spacing w:after="60" w:line="276" w:lineRule="auto"/>
        <w:jc w:val="both"/>
        <w:rPr>
          <w:rFonts w:ascii="Times New Roman" w:hAnsi="Times New Roman"/>
          <w:sz w:val="24"/>
          <w:szCs w:val="24"/>
        </w:rPr>
      </w:pPr>
      <w:r w:rsidRPr="00206B4E">
        <w:rPr>
          <w:rFonts w:ascii="Times New Roman" w:hAnsi="Times New Roman"/>
          <w:sz w:val="24"/>
          <w:szCs w:val="24"/>
        </w:rPr>
        <w:t>Tale infrastrutturazione, tuttavia, presenta dei rischi a livello concorrenziale, che potrebbero compromettere l’efficienza del settore nascente, a causa della creazione di situazioni di monopolio o di forte potere di mercato locale. In particolare, si fa riferimento alla possibilità che essa conduca alla concentrazione delle infrastrutture di ricarica in capo a pochi o a un unico soggetto a livello locale. Quest’ultimo, in tal caso, risulterebbe l’operatore (detto anche “</w:t>
      </w:r>
      <w:proofErr w:type="spellStart"/>
      <w:r w:rsidRPr="00206B4E">
        <w:rPr>
          <w:rFonts w:ascii="Times New Roman" w:hAnsi="Times New Roman"/>
          <w:sz w:val="24"/>
          <w:szCs w:val="24"/>
        </w:rPr>
        <w:t>Charging</w:t>
      </w:r>
      <w:proofErr w:type="spellEnd"/>
      <w:r w:rsidRPr="00206B4E">
        <w:rPr>
          <w:rFonts w:ascii="Times New Roman" w:hAnsi="Times New Roman"/>
          <w:sz w:val="24"/>
          <w:szCs w:val="24"/>
        </w:rPr>
        <w:t xml:space="preserve"> Point Operator” o “CPO”) dominante nei confronti della clientela che necessita di effettuare la ricarica in una determinata area, sia nel caso in cui l’offerta ai consumatori finali sia intermediata da altri operatori (i cosiddetti “MSP” o “EMP”, detti anche “E-</w:t>
      </w:r>
      <w:proofErr w:type="spellStart"/>
      <w:r w:rsidRPr="00206B4E">
        <w:rPr>
          <w:rFonts w:ascii="Times New Roman" w:hAnsi="Times New Roman"/>
          <w:sz w:val="24"/>
          <w:szCs w:val="24"/>
        </w:rPr>
        <w:t>Mobility</w:t>
      </w:r>
      <w:proofErr w:type="spellEnd"/>
      <w:r w:rsidRPr="00206B4E">
        <w:rPr>
          <w:rFonts w:ascii="Times New Roman" w:hAnsi="Times New Roman"/>
          <w:sz w:val="24"/>
          <w:szCs w:val="24"/>
        </w:rPr>
        <w:t xml:space="preserve"> Providers” o “EMP”), sia nel caso in cui l’automobilista abbia la possibilità di pagare direttamente l’energia al gestore della colonnina di ricarica.</w:t>
      </w:r>
    </w:p>
    <w:p w14:paraId="7A6AF9C7" w14:textId="77777777" w:rsidR="00F30A7E" w:rsidRPr="00206B4E" w:rsidRDefault="00F30A7E" w:rsidP="00F30A7E">
      <w:pPr>
        <w:autoSpaceDE w:val="0"/>
        <w:spacing w:after="60" w:line="276" w:lineRule="auto"/>
        <w:jc w:val="both"/>
        <w:rPr>
          <w:rFonts w:ascii="Times New Roman" w:hAnsi="Times New Roman"/>
          <w:sz w:val="24"/>
          <w:szCs w:val="24"/>
        </w:rPr>
      </w:pPr>
      <w:r w:rsidRPr="00206B4E">
        <w:rPr>
          <w:rFonts w:ascii="Times New Roman" w:hAnsi="Times New Roman"/>
          <w:sz w:val="24"/>
          <w:szCs w:val="24"/>
        </w:rPr>
        <w:t>Tale situazione di potere di mercato locale potrebbe ingenerare incentivi ad aumentare i prezzi delle ricariche, nonché a porre in essere condotte escludenti a danno degli operatori concorrenti nel mercato complementare degli intermediari (MSP) per favorire la società del proprio gruppo (gran parte dei CPO, infatti, è attiva anche come MSP).</w:t>
      </w:r>
    </w:p>
    <w:p w14:paraId="74FD2F37" w14:textId="53C3A515" w:rsidR="00F30A7E" w:rsidRPr="00206B4E" w:rsidRDefault="00F30A7E" w:rsidP="00F30A7E">
      <w:pPr>
        <w:autoSpaceDE w:val="0"/>
        <w:spacing w:after="60" w:line="276" w:lineRule="auto"/>
        <w:jc w:val="both"/>
        <w:rPr>
          <w:rFonts w:ascii="Times New Roman" w:hAnsi="Times New Roman"/>
          <w:sz w:val="24"/>
          <w:szCs w:val="24"/>
        </w:rPr>
      </w:pPr>
      <w:r w:rsidRPr="00206B4E">
        <w:rPr>
          <w:rFonts w:ascii="Times New Roman" w:hAnsi="Times New Roman"/>
          <w:sz w:val="24"/>
          <w:szCs w:val="24"/>
        </w:rPr>
        <w:t xml:space="preserve">A riguardo, l’impianto normativo attuale prevede, all’articolo 57 del </w:t>
      </w:r>
      <w:r w:rsidR="007E6D05">
        <w:rPr>
          <w:rFonts w:ascii="Times New Roman" w:hAnsi="Times New Roman"/>
          <w:sz w:val="24"/>
          <w:szCs w:val="24"/>
        </w:rPr>
        <w:t>d</w:t>
      </w:r>
      <w:r w:rsidRPr="00206B4E">
        <w:rPr>
          <w:rFonts w:ascii="Times New Roman" w:hAnsi="Times New Roman"/>
          <w:sz w:val="24"/>
          <w:szCs w:val="24"/>
        </w:rPr>
        <w:t>ecreto</w:t>
      </w:r>
      <w:r w:rsidR="009F535D">
        <w:rPr>
          <w:rFonts w:ascii="Times New Roman" w:hAnsi="Times New Roman"/>
          <w:sz w:val="24"/>
          <w:szCs w:val="24"/>
        </w:rPr>
        <w:t xml:space="preserve"> </w:t>
      </w:r>
      <w:r w:rsidRPr="00206B4E">
        <w:rPr>
          <w:rFonts w:ascii="Times New Roman" w:hAnsi="Times New Roman"/>
          <w:sz w:val="24"/>
          <w:szCs w:val="24"/>
        </w:rPr>
        <w:t>legge 16 luglio 2020</w:t>
      </w:r>
      <w:r w:rsidR="007E6D05">
        <w:rPr>
          <w:rFonts w:ascii="Times New Roman" w:hAnsi="Times New Roman"/>
          <w:sz w:val="24"/>
          <w:szCs w:val="24"/>
        </w:rPr>
        <w:t>, n. 76</w:t>
      </w:r>
      <w:r w:rsidRPr="00206B4E">
        <w:rPr>
          <w:rFonts w:ascii="Times New Roman" w:hAnsi="Times New Roman"/>
          <w:sz w:val="24"/>
          <w:szCs w:val="24"/>
        </w:rPr>
        <w:t>, convertito con modificazioni dalla legge</w:t>
      </w:r>
      <w:r w:rsidR="007E6D05">
        <w:rPr>
          <w:rFonts w:ascii="Times New Roman" w:hAnsi="Times New Roman"/>
          <w:sz w:val="24"/>
          <w:szCs w:val="24"/>
        </w:rPr>
        <w:t xml:space="preserve"> </w:t>
      </w:r>
      <w:r w:rsidRPr="00206B4E">
        <w:rPr>
          <w:rFonts w:ascii="Times New Roman" w:hAnsi="Times New Roman"/>
          <w:sz w:val="24"/>
          <w:szCs w:val="24"/>
        </w:rPr>
        <w:t>11 settembre 2020</w:t>
      </w:r>
      <w:r w:rsidR="007E6D05">
        <w:rPr>
          <w:rFonts w:ascii="Times New Roman" w:hAnsi="Times New Roman"/>
          <w:sz w:val="24"/>
          <w:szCs w:val="24"/>
        </w:rPr>
        <w:t>, n. 120</w:t>
      </w:r>
      <w:r w:rsidRPr="00206B4E">
        <w:rPr>
          <w:rFonts w:ascii="Times New Roman" w:hAnsi="Times New Roman"/>
          <w:sz w:val="24"/>
          <w:szCs w:val="24"/>
        </w:rPr>
        <w:t xml:space="preserve">, che l’infrastrutturazione è gestita sostanzialmente a livello comunale. In particolare, tale articolo, al comma 7, dispone che i Comuni disciplinano l’installazione, la realizzazione e la gestione delle infrastrutture e al successivo </w:t>
      </w:r>
      <w:r w:rsidRPr="00206B4E">
        <w:rPr>
          <w:rFonts w:ascii="Times New Roman" w:hAnsi="Times New Roman"/>
          <w:sz w:val="24"/>
          <w:szCs w:val="24"/>
        </w:rPr>
        <w:lastRenderedPageBreak/>
        <w:t>comma 8 che essi “</w:t>
      </w:r>
      <w:r w:rsidRPr="00CB5F15">
        <w:rPr>
          <w:rFonts w:ascii="Times New Roman" w:hAnsi="Times New Roman"/>
          <w:i/>
          <w:iCs/>
          <w:sz w:val="24"/>
          <w:szCs w:val="24"/>
        </w:rPr>
        <w:t>possono consentire, anche a titolo non oneroso, la realizzazione e gestione di infrastrutture di ricarica a soggetti pubblici e privati, anche prevedendo una eventuale suddivisione in lotti, da assegnare mediante procedure competitive, trasparenti e non discriminatorie</w:t>
      </w:r>
      <w:r w:rsidRPr="00206B4E">
        <w:rPr>
          <w:rFonts w:ascii="Times New Roman" w:hAnsi="Times New Roman"/>
          <w:sz w:val="24"/>
          <w:szCs w:val="24"/>
        </w:rPr>
        <w:t>”.</w:t>
      </w:r>
    </w:p>
    <w:p w14:paraId="30094EC9" w14:textId="6A0B8D06" w:rsidR="00F30A7E" w:rsidRPr="00206B4E" w:rsidRDefault="00F30A7E" w:rsidP="00F30A7E">
      <w:pPr>
        <w:autoSpaceDE w:val="0"/>
        <w:spacing w:after="60" w:line="276" w:lineRule="auto"/>
        <w:jc w:val="both"/>
        <w:rPr>
          <w:rFonts w:ascii="Times New Roman" w:hAnsi="Times New Roman"/>
          <w:sz w:val="24"/>
          <w:szCs w:val="24"/>
        </w:rPr>
      </w:pPr>
      <w:r w:rsidRPr="00206B4E">
        <w:rPr>
          <w:rFonts w:ascii="Times New Roman" w:hAnsi="Times New Roman"/>
          <w:sz w:val="24"/>
          <w:szCs w:val="24"/>
        </w:rPr>
        <w:t>Nel contesto sopra descritto si è reso opportuno</w:t>
      </w:r>
      <w:r w:rsidR="00CB5F15">
        <w:rPr>
          <w:rFonts w:ascii="Times New Roman" w:hAnsi="Times New Roman"/>
          <w:sz w:val="24"/>
          <w:szCs w:val="24"/>
        </w:rPr>
        <w:t>, anche tenendo conto della segnalazione di AGCM</w:t>
      </w:r>
      <w:r w:rsidRPr="00206B4E">
        <w:rPr>
          <w:rFonts w:ascii="Times New Roman" w:hAnsi="Times New Roman"/>
          <w:sz w:val="24"/>
          <w:szCs w:val="24"/>
        </w:rPr>
        <w:t xml:space="preserve">, introdurre una previsione normativa </w:t>
      </w:r>
      <w:r w:rsidR="00CB5F15">
        <w:rPr>
          <w:rFonts w:ascii="Times New Roman" w:hAnsi="Times New Roman"/>
          <w:sz w:val="24"/>
          <w:szCs w:val="24"/>
        </w:rPr>
        <w:t xml:space="preserve">in modo da </w:t>
      </w:r>
      <w:r w:rsidR="00CB5F15" w:rsidRPr="00206B4E">
        <w:rPr>
          <w:rFonts w:ascii="Times New Roman" w:hAnsi="Times New Roman"/>
          <w:sz w:val="24"/>
          <w:szCs w:val="24"/>
        </w:rPr>
        <w:t>garantire migliori dinamiche concorrenziali a livello locale</w:t>
      </w:r>
      <w:r w:rsidRPr="00206B4E">
        <w:rPr>
          <w:rFonts w:ascii="Times New Roman" w:hAnsi="Times New Roman"/>
          <w:sz w:val="24"/>
          <w:szCs w:val="24"/>
        </w:rPr>
        <w:t>.</w:t>
      </w:r>
    </w:p>
    <w:p w14:paraId="70204DF5" w14:textId="3AF79A76" w:rsidR="00F30A7E" w:rsidRPr="00206B4E" w:rsidRDefault="007E6D05" w:rsidP="00F30A7E">
      <w:pPr>
        <w:autoSpaceDE w:val="0"/>
        <w:spacing w:after="60" w:line="276" w:lineRule="auto"/>
        <w:jc w:val="both"/>
        <w:rPr>
          <w:rFonts w:ascii="Times New Roman" w:hAnsi="Times New Roman"/>
          <w:sz w:val="24"/>
          <w:szCs w:val="24"/>
        </w:rPr>
      </w:pPr>
      <w:r>
        <w:rPr>
          <w:rFonts w:ascii="Times New Roman" w:hAnsi="Times New Roman"/>
          <w:sz w:val="24"/>
          <w:szCs w:val="24"/>
        </w:rPr>
        <w:t>La</w:t>
      </w:r>
      <w:r w:rsidR="00F30A7E" w:rsidRPr="00206B4E">
        <w:rPr>
          <w:rFonts w:ascii="Times New Roman" w:hAnsi="Times New Roman"/>
          <w:sz w:val="24"/>
          <w:szCs w:val="24"/>
        </w:rPr>
        <w:t xml:space="preserve"> disposizione</w:t>
      </w:r>
      <w:r w:rsidR="00CB5F15">
        <w:rPr>
          <w:rFonts w:ascii="Times New Roman" w:hAnsi="Times New Roman"/>
          <w:sz w:val="24"/>
          <w:szCs w:val="24"/>
        </w:rPr>
        <w:t>, nell’</w:t>
      </w:r>
      <w:r w:rsidR="00F30A7E" w:rsidRPr="00206B4E">
        <w:rPr>
          <w:rFonts w:ascii="Times New Roman" w:hAnsi="Times New Roman"/>
          <w:sz w:val="24"/>
          <w:szCs w:val="24"/>
        </w:rPr>
        <w:t>integra</w:t>
      </w:r>
      <w:r w:rsidR="00CB5F15">
        <w:rPr>
          <w:rFonts w:ascii="Times New Roman" w:hAnsi="Times New Roman"/>
          <w:sz w:val="24"/>
          <w:szCs w:val="24"/>
        </w:rPr>
        <w:t>le</w:t>
      </w:r>
      <w:r w:rsidR="00F30A7E" w:rsidRPr="00206B4E">
        <w:rPr>
          <w:rFonts w:ascii="Times New Roman" w:hAnsi="Times New Roman"/>
          <w:sz w:val="24"/>
          <w:szCs w:val="24"/>
        </w:rPr>
        <w:t xml:space="preserve"> il comma 8</w:t>
      </w:r>
      <w:r>
        <w:rPr>
          <w:rFonts w:ascii="Times New Roman" w:hAnsi="Times New Roman"/>
          <w:sz w:val="24"/>
          <w:szCs w:val="24"/>
        </w:rPr>
        <w:t xml:space="preserve"> dell’art. 57 del richiamato decreto legge</w:t>
      </w:r>
      <w:r w:rsidR="00CB5F15">
        <w:rPr>
          <w:rFonts w:ascii="Times New Roman" w:hAnsi="Times New Roman"/>
          <w:sz w:val="24"/>
          <w:szCs w:val="24"/>
        </w:rPr>
        <w:t>,</w:t>
      </w:r>
      <w:r w:rsidR="00F30A7E" w:rsidRPr="00206B4E">
        <w:rPr>
          <w:rFonts w:ascii="Times New Roman" w:hAnsi="Times New Roman"/>
          <w:sz w:val="24"/>
          <w:szCs w:val="24"/>
        </w:rPr>
        <w:t xml:space="preserve"> specifica</w:t>
      </w:r>
      <w:r w:rsidR="00CB5F15">
        <w:rPr>
          <w:rFonts w:ascii="Times New Roman" w:hAnsi="Times New Roman"/>
          <w:sz w:val="24"/>
          <w:szCs w:val="24"/>
        </w:rPr>
        <w:t xml:space="preserve"> che </w:t>
      </w:r>
      <w:r w:rsidR="00F30A7E" w:rsidRPr="00206B4E">
        <w:rPr>
          <w:rFonts w:ascii="Times New Roman" w:hAnsi="Times New Roman"/>
          <w:sz w:val="24"/>
          <w:szCs w:val="24"/>
        </w:rPr>
        <w:t xml:space="preserve">le procedure di realizzazione e gestione delle infrastrutture </w:t>
      </w:r>
      <w:r w:rsidR="00CB5F15">
        <w:rPr>
          <w:rFonts w:ascii="Times New Roman" w:hAnsi="Times New Roman"/>
          <w:sz w:val="24"/>
          <w:szCs w:val="24"/>
        </w:rPr>
        <w:t xml:space="preserve">devono essere </w:t>
      </w:r>
      <w:r w:rsidR="00F30A7E" w:rsidRPr="00206B4E">
        <w:rPr>
          <w:rFonts w:ascii="Times New Roman" w:hAnsi="Times New Roman"/>
          <w:sz w:val="24"/>
          <w:szCs w:val="24"/>
        </w:rPr>
        <w:t xml:space="preserve">strutturate in modo da favorire, a parità di altre condizioni, la presenza di una pluralità di soggetti </w:t>
      </w:r>
      <w:r>
        <w:rPr>
          <w:rFonts w:ascii="Times New Roman" w:hAnsi="Times New Roman"/>
          <w:sz w:val="24"/>
          <w:szCs w:val="24"/>
        </w:rPr>
        <w:t>e,</w:t>
      </w:r>
      <w:r w:rsidR="00F30A7E" w:rsidRPr="00206B4E">
        <w:rPr>
          <w:rFonts w:ascii="Times New Roman" w:hAnsi="Times New Roman"/>
          <w:sz w:val="24"/>
          <w:szCs w:val="24"/>
        </w:rPr>
        <w:t xml:space="preserve"> dall’altro, che a fronte di richieste di autorizzazione con caratteristiche comparabili, il Comune </w:t>
      </w:r>
      <w:r w:rsidR="00CB5F15">
        <w:rPr>
          <w:rFonts w:ascii="Times New Roman" w:hAnsi="Times New Roman"/>
          <w:sz w:val="24"/>
          <w:szCs w:val="24"/>
        </w:rPr>
        <w:t>deve dare</w:t>
      </w:r>
      <w:r w:rsidR="00F30A7E" w:rsidRPr="00206B4E">
        <w:rPr>
          <w:rFonts w:ascii="Times New Roman" w:hAnsi="Times New Roman"/>
          <w:sz w:val="24"/>
          <w:szCs w:val="24"/>
        </w:rPr>
        <w:t xml:space="preserve"> priorità alle istanze provenienti da soggetti che detengano meno del 40% del totale delle infrastrutture di ricarica installate o già autorizzate all’installazione nel territorio comunale.</w:t>
      </w:r>
    </w:p>
    <w:p w14:paraId="521221EA" w14:textId="77777777" w:rsidR="00F30A7E" w:rsidRPr="00206B4E" w:rsidRDefault="00F30A7E" w:rsidP="00F30A7E">
      <w:pPr>
        <w:spacing w:after="0" w:line="240" w:lineRule="auto"/>
        <w:rPr>
          <w:rFonts w:ascii="Times New Roman" w:hAnsi="Times New Roman"/>
          <w:b/>
          <w:bCs/>
          <w:sz w:val="24"/>
          <w:szCs w:val="24"/>
        </w:rPr>
      </w:pPr>
    </w:p>
    <w:p w14:paraId="12BACF76" w14:textId="55D4A1E1" w:rsidR="00F30A7E" w:rsidRDefault="00F30A7E" w:rsidP="00F30A7E">
      <w:pPr>
        <w:spacing w:after="0" w:line="240" w:lineRule="auto"/>
        <w:rPr>
          <w:rFonts w:ascii="Times New Roman" w:hAnsi="Times New Roman"/>
          <w:b/>
          <w:bCs/>
          <w:sz w:val="24"/>
          <w:szCs w:val="24"/>
        </w:rPr>
      </w:pPr>
      <w:r w:rsidRPr="00206B4E">
        <w:rPr>
          <w:rFonts w:ascii="Times New Roman" w:hAnsi="Times New Roman"/>
          <w:b/>
          <w:bCs/>
          <w:sz w:val="24"/>
          <w:szCs w:val="24"/>
        </w:rPr>
        <w:t>CAPO II - Disposizioni in materia di servizi di trasporto pubblico regionale e di trasporto aereo</w:t>
      </w:r>
    </w:p>
    <w:p w14:paraId="383E519B" w14:textId="77777777" w:rsidR="007E6D05" w:rsidRDefault="007E6D05" w:rsidP="00F30A7E">
      <w:pPr>
        <w:spacing w:after="0" w:line="240" w:lineRule="auto"/>
        <w:rPr>
          <w:rFonts w:ascii="Times New Roman" w:hAnsi="Times New Roman"/>
          <w:b/>
          <w:bCs/>
          <w:sz w:val="24"/>
          <w:szCs w:val="24"/>
        </w:rPr>
      </w:pPr>
    </w:p>
    <w:p w14:paraId="209813BA" w14:textId="1A685E8E" w:rsidR="007E6D05" w:rsidRPr="00F17C1F" w:rsidRDefault="007E6D05" w:rsidP="00F17C1F">
      <w:pPr>
        <w:spacing w:after="0" w:line="240" w:lineRule="auto"/>
        <w:jc w:val="both"/>
        <w:rPr>
          <w:rFonts w:ascii="Times New Roman" w:hAnsi="Times New Roman"/>
          <w:sz w:val="24"/>
          <w:szCs w:val="24"/>
        </w:rPr>
      </w:pPr>
      <w:r w:rsidRPr="00B4639B">
        <w:rPr>
          <w:rFonts w:ascii="Times New Roman" w:hAnsi="Times New Roman"/>
          <w:sz w:val="24"/>
          <w:szCs w:val="24"/>
        </w:rPr>
        <w:t>Il CAPO II</w:t>
      </w:r>
      <w:r w:rsidR="00F17C1F" w:rsidRPr="00F17C1F">
        <w:rPr>
          <w:rFonts w:ascii="Times New Roman" w:hAnsi="Times New Roman"/>
          <w:sz w:val="24"/>
          <w:szCs w:val="24"/>
        </w:rPr>
        <w:t xml:space="preserve"> contiene interventi nel settore del trasporto </w:t>
      </w:r>
      <w:r w:rsidR="00D33561">
        <w:rPr>
          <w:rFonts w:ascii="Times New Roman" w:hAnsi="Times New Roman"/>
          <w:sz w:val="24"/>
          <w:szCs w:val="24"/>
        </w:rPr>
        <w:t xml:space="preserve">pubblico </w:t>
      </w:r>
      <w:r w:rsidR="00F17C1F" w:rsidRPr="00F17C1F">
        <w:rPr>
          <w:rFonts w:ascii="Times New Roman" w:hAnsi="Times New Roman"/>
          <w:sz w:val="24"/>
          <w:szCs w:val="24"/>
        </w:rPr>
        <w:t>ferrovia</w:t>
      </w:r>
      <w:r w:rsidR="00F17C1F">
        <w:rPr>
          <w:rFonts w:ascii="Times New Roman" w:hAnsi="Times New Roman"/>
          <w:sz w:val="24"/>
          <w:szCs w:val="24"/>
        </w:rPr>
        <w:t xml:space="preserve">rio, nel quale sia l’AGCM che la Commissione </w:t>
      </w:r>
      <w:r w:rsidR="00CB5F15">
        <w:rPr>
          <w:rFonts w:ascii="Times New Roman" w:hAnsi="Times New Roman"/>
          <w:sz w:val="24"/>
          <w:szCs w:val="24"/>
        </w:rPr>
        <w:t xml:space="preserve">UE </w:t>
      </w:r>
      <w:r w:rsidR="00F17C1F">
        <w:rPr>
          <w:rFonts w:ascii="Times New Roman" w:hAnsi="Times New Roman"/>
          <w:sz w:val="24"/>
          <w:szCs w:val="24"/>
        </w:rPr>
        <w:t xml:space="preserve">ritengono utile </w:t>
      </w:r>
      <w:r w:rsidR="00F17C1F" w:rsidRPr="00F17C1F">
        <w:rPr>
          <w:rFonts w:ascii="Times New Roman" w:hAnsi="Times New Roman"/>
          <w:sz w:val="24"/>
          <w:szCs w:val="24"/>
        </w:rPr>
        <w:t>introdurre</w:t>
      </w:r>
      <w:r w:rsidR="00CB5F15">
        <w:rPr>
          <w:rFonts w:ascii="Times New Roman" w:hAnsi="Times New Roman"/>
          <w:sz w:val="24"/>
          <w:szCs w:val="24"/>
        </w:rPr>
        <w:t xml:space="preserve"> un</w:t>
      </w:r>
      <w:r w:rsidR="00F17C1F" w:rsidRPr="00F17C1F">
        <w:rPr>
          <w:rFonts w:ascii="Times New Roman" w:hAnsi="Times New Roman"/>
          <w:sz w:val="24"/>
          <w:szCs w:val="24"/>
        </w:rPr>
        <w:t xml:space="preserve"> maggiore confronto competitivo</w:t>
      </w:r>
      <w:r w:rsidR="00F17C1F">
        <w:rPr>
          <w:rFonts w:ascii="Times New Roman" w:hAnsi="Times New Roman"/>
          <w:sz w:val="24"/>
          <w:szCs w:val="24"/>
        </w:rPr>
        <w:t xml:space="preserve">, anche per </w:t>
      </w:r>
      <w:r w:rsidR="00F17C1F" w:rsidRPr="00F17C1F">
        <w:rPr>
          <w:rFonts w:ascii="Times New Roman" w:hAnsi="Times New Roman"/>
          <w:sz w:val="24"/>
          <w:szCs w:val="24"/>
        </w:rPr>
        <w:t>quanto riguarda l’efficienza del servizio e la qualità delle gestioni</w:t>
      </w:r>
      <w:r w:rsidR="00D33561">
        <w:rPr>
          <w:rFonts w:ascii="Times New Roman" w:hAnsi="Times New Roman"/>
          <w:sz w:val="24"/>
          <w:szCs w:val="24"/>
        </w:rPr>
        <w:t xml:space="preserve">. </w:t>
      </w:r>
      <w:r w:rsidR="00CB5F15">
        <w:rPr>
          <w:rFonts w:ascii="Times New Roman" w:hAnsi="Times New Roman"/>
          <w:sz w:val="24"/>
          <w:szCs w:val="24"/>
        </w:rPr>
        <w:t xml:space="preserve">Il predetto CAPO contiene anche una disposizione </w:t>
      </w:r>
      <w:r w:rsidR="00F17C1F">
        <w:rPr>
          <w:rFonts w:ascii="Times New Roman" w:hAnsi="Times New Roman"/>
          <w:sz w:val="24"/>
          <w:szCs w:val="24"/>
        </w:rPr>
        <w:t>nel settore del trasporto aereo</w:t>
      </w:r>
      <w:r w:rsidR="00F17C1F" w:rsidRPr="00F17C1F">
        <w:rPr>
          <w:rFonts w:ascii="Times New Roman" w:hAnsi="Times New Roman"/>
          <w:sz w:val="24"/>
          <w:szCs w:val="24"/>
        </w:rPr>
        <w:t>.</w:t>
      </w:r>
      <w:r w:rsidR="00F17C1F">
        <w:rPr>
          <w:rFonts w:ascii="Times New Roman" w:hAnsi="Times New Roman"/>
          <w:sz w:val="24"/>
          <w:szCs w:val="24"/>
        </w:rPr>
        <w:t xml:space="preserve"> </w:t>
      </w:r>
    </w:p>
    <w:p w14:paraId="77294751" w14:textId="77777777" w:rsidR="00F17C1F" w:rsidRDefault="00F17C1F" w:rsidP="00746C3F">
      <w:pPr>
        <w:spacing w:after="60" w:line="276" w:lineRule="auto"/>
        <w:jc w:val="both"/>
        <w:rPr>
          <w:rFonts w:ascii="Times New Roman" w:hAnsi="Times New Roman"/>
          <w:b/>
          <w:bCs/>
          <w:sz w:val="24"/>
          <w:szCs w:val="24"/>
        </w:rPr>
      </w:pPr>
    </w:p>
    <w:p w14:paraId="16AF2E4F" w14:textId="77777777" w:rsidR="00432090" w:rsidRPr="00206B4E" w:rsidRDefault="00432090" w:rsidP="00432090">
      <w:pPr>
        <w:spacing w:after="60" w:line="276" w:lineRule="auto"/>
        <w:jc w:val="both"/>
        <w:rPr>
          <w:rFonts w:ascii="Times New Roman" w:hAnsi="Times New Roman"/>
          <w:sz w:val="24"/>
          <w:szCs w:val="24"/>
        </w:rPr>
      </w:pPr>
      <w:r w:rsidRPr="00C421CE">
        <w:rPr>
          <w:rFonts w:ascii="Times New Roman" w:hAnsi="Times New Roman"/>
          <w:sz w:val="24"/>
          <w:szCs w:val="24"/>
        </w:rPr>
        <w:t>L’</w:t>
      </w:r>
      <w:r w:rsidRPr="00206B4E">
        <w:rPr>
          <w:rFonts w:ascii="Times New Roman" w:hAnsi="Times New Roman"/>
          <w:b/>
          <w:bCs/>
          <w:sz w:val="24"/>
          <w:szCs w:val="24"/>
        </w:rPr>
        <w:t xml:space="preserve">articolo </w:t>
      </w:r>
      <w:r>
        <w:rPr>
          <w:rFonts w:ascii="Times New Roman" w:hAnsi="Times New Roman"/>
          <w:b/>
          <w:bCs/>
          <w:sz w:val="24"/>
          <w:szCs w:val="24"/>
        </w:rPr>
        <w:t>4</w:t>
      </w:r>
      <w:r w:rsidRPr="00206B4E">
        <w:rPr>
          <w:rFonts w:ascii="Times New Roman" w:hAnsi="Times New Roman"/>
          <w:sz w:val="24"/>
          <w:szCs w:val="24"/>
        </w:rPr>
        <w:t xml:space="preserve"> introduce</w:t>
      </w:r>
      <w:r>
        <w:rPr>
          <w:rFonts w:ascii="Times New Roman" w:hAnsi="Times New Roman"/>
          <w:sz w:val="24"/>
          <w:szCs w:val="24"/>
        </w:rPr>
        <w:t>,</w:t>
      </w:r>
      <w:r w:rsidRPr="00F17C1F">
        <w:rPr>
          <w:rFonts w:ascii="Times New Roman" w:hAnsi="Times New Roman"/>
          <w:b/>
          <w:bCs/>
          <w:sz w:val="24"/>
          <w:szCs w:val="24"/>
        </w:rPr>
        <w:t xml:space="preserve"> </w:t>
      </w:r>
      <w:r w:rsidRPr="00BE36C2">
        <w:rPr>
          <w:rFonts w:ascii="Times New Roman" w:hAnsi="Times New Roman"/>
          <w:b/>
          <w:bCs/>
          <w:sz w:val="24"/>
          <w:szCs w:val="24"/>
        </w:rPr>
        <w:t>al</w:t>
      </w:r>
      <w:r w:rsidRPr="00F17C1F">
        <w:rPr>
          <w:rFonts w:ascii="Times New Roman" w:hAnsi="Times New Roman"/>
          <w:b/>
          <w:bCs/>
          <w:sz w:val="24"/>
          <w:szCs w:val="24"/>
        </w:rPr>
        <w:t xml:space="preserve"> comma 1,</w:t>
      </w:r>
      <w:r w:rsidRPr="00206B4E">
        <w:rPr>
          <w:rFonts w:ascii="Times New Roman" w:hAnsi="Times New Roman"/>
          <w:sz w:val="24"/>
          <w:szCs w:val="24"/>
        </w:rPr>
        <w:t xml:space="preserve"> disposizioni in materia di servizi di trasporto pubblico di passeggeri per ferrovia di competenza regionale, al fine di rafforzare l’efficienza del servizio e rendere trasparenti le modalità di gestione dello stesso. </w:t>
      </w:r>
    </w:p>
    <w:p w14:paraId="59905813" w14:textId="77777777" w:rsidR="00432090" w:rsidRPr="00206B4E" w:rsidRDefault="00432090" w:rsidP="00432090">
      <w:pPr>
        <w:spacing w:after="60" w:line="276" w:lineRule="auto"/>
        <w:jc w:val="both"/>
        <w:rPr>
          <w:rFonts w:ascii="Times New Roman" w:hAnsi="Times New Roman"/>
          <w:sz w:val="24"/>
          <w:szCs w:val="24"/>
        </w:rPr>
      </w:pPr>
      <w:r w:rsidRPr="00206B4E">
        <w:rPr>
          <w:rFonts w:ascii="Times New Roman" w:hAnsi="Times New Roman"/>
          <w:sz w:val="24"/>
          <w:szCs w:val="24"/>
        </w:rPr>
        <w:t>Come è noto, le difficoltà nel processo di liberalizzazione hanno determinato condizioni di offerta scarsamente competitive e spesso insoddisfacenti per quanto riguarda l’efficienza del servizio e la qualità delle gestioni, soprattutto nel settore del trasporto ferroviario. Il Regolamento (CE) 1370/2007, relativo ai servizi pubblici di trasporto di passeggeri su strada e per ferrovia, pur ispirato alla tutela del principio della libera concorrenza, non obbliga al ricorso alla gara, ma rimette la scelta dell’individuazione delle modalità di gestione del servizio alle autorità nazionali: in Italia, la decisione delle amministrazioni è stata storicamente quella di ricorrere a contratti di lunga durata in assenza di procedure competitive per l’affidamento del servizio.</w:t>
      </w:r>
    </w:p>
    <w:p w14:paraId="118FC6C5" w14:textId="77777777" w:rsidR="00432090" w:rsidRPr="00206B4E" w:rsidRDefault="00432090" w:rsidP="00432090">
      <w:pPr>
        <w:spacing w:after="60" w:line="276" w:lineRule="auto"/>
        <w:jc w:val="both"/>
        <w:rPr>
          <w:rFonts w:ascii="Times New Roman" w:hAnsi="Times New Roman"/>
          <w:sz w:val="24"/>
          <w:szCs w:val="24"/>
        </w:rPr>
      </w:pPr>
      <w:r w:rsidRPr="00206B4E">
        <w:rPr>
          <w:rFonts w:ascii="Times New Roman" w:hAnsi="Times New Roman"/>
          <w:sz w:val="24"/>
          <w:szCs w:val="24"/>
        </w:rPr>
        <w:t xml:space="preserve">Da ultimo, l’art. 48 del </w:t>
      </w:r>
      <w:bookmarkStart w:id="0" w:name="_Hlk195199746"/>
      <w:r w:rsidRPr="00206B4E">
        <w:rPr>
          <w:rFonts w:ascii="Times New Roman" w:hAnsi="Times New Roman"/>
          <w:sz w:val="24"/>
          <w:szCs w:val="24"/>
        </w:rPr>
        <w:t>d</w:t>
      </w:r>
      <w:r>
        <w:rPr>
          <w:rFonts w:ascii="Times New Roman" w:hAnsi="Times New Roman"/>
          <w:sz w:val="24"/>
          <w:szCs w:val="24"/>
        </w:rPr>
        <w:t xml:space="preserve">ecreto legge </w:t>
      </w:r>
      <w:r w:rsidRPr="00206B4E">
        <w:rPr>
          <w:rFonts w:ascii="Times New Roman" w:hAnsi="Times New Roman"/>
          <w:sz w:val="24"/>
          <w:szCs w:val="24"/>
        </w:rPr>
        <w:t>24 aprile 2017, n. 50</w:t>
      </w:r>
      <w:bookmarkEnd w:id="0"/>
      <w:r>
        <w:rPr>
          <w:rFonts w:ascii="Times New Roman" w:hAnsi="Times New Roman"/>
          <w:sz w:val="24"/>
          <w:szCs w:val="24"/>
        </w:rPr>
        <w:t xml:space="preserve">, </w:t>
      </w:r>
      <w:r w:rsidRPr="00206B4E">
        <w:rPr>
          <w:rFonts w:ascii="Times New Roman" w:hAnsi="Times New Roman"/>
          <w:sz w:val="24"/>
          <w:szCs w:val="24"/>
        </w:rPr>
        <w:t>ha introdotto alcune previsioni in tema di trasporto pubblico locale e regionale, relative in particolare all’organizzazione dello stesso, specificando da un lato le procedure per la determinazione dei bacini di mobilità riferibili a tale servizio e, dall’altro, misure volte a contrastare l’evasione tariffaria e a migliorare la qualità del servizio.</w:t>
      </w:r>
    </w:p>
    <w:p w14:paraId="53C91C54" w14:textId="77777777" w:rsidR="00432090" w:rsidRPr="00206B4E" w:rsidRDefault="00432090" w:rsidP="00432090">
      <w:pPr>
        <w:spacing w:after="60" w:line="276" w:lineRule="auto"/>
        <w:jc w:val="both"/>
        <w:rPr>
          <w:rFonts w:ascii="Times New Roman" w:hAnsi="Times New Roman"/>
          <w:sz w:val="24"/>
          <w:szCs w:val="24"/>
        </w:rPr>
      </w:pPr>
      <w:r>
        <w:rPr>
          <w:rFonts w:ascii="Times New Roman" w:hAnsi="Times New Roman"/>
          <w:sz w:val="24"/>
          <w:szCs w:val="24"/>
        </w:rPr>
        <w:t>L</w:t>
      </w:r>
      <w:r w:rsidRPr="00206B4E">
        <w:rPr>
          <w:rFonts w:ascii="Times New Roman" w:hAnsi="Times New Roman"/>
          <w:sz w:val="24"/>
          <w:szCs w:val="24"/>
        </w:rPr>
        <w:t>a disposizione in esame</w:t>
      </w:r>
      <w:r>
        <w:rPr>
          <w:rFonts w:ascii="Times New Roman" w:hAnsi="Times New Roman"/>
          <w:sz w:val="24"/>
          <w:szCs w:val="24"/>
        </w:rPr>
        <w:t>, c</w:t>
      </w:r>
      <w:r w:rsidRPr="00206B4E">
        <w:rPr>
          <w:rFonts w:ascii="Times New Roman" w:hAnsi="Times New Roman"/>
          <w:sz w:val="24"/>
          <w:szCs w:val="24"/>
        </w:rPr>
        <w:t>onsiderata la necessità di rendere trasparente e conoscibile la volontà dell’amministrazione e di rafforzare l’orientamento al risultato nelle scelte operate dalle Regioni</w:t>
      </w:r>
      <w:r>
        <w:rPr>
          <w:rFonts w:ascii="Times New Roman" w:hAnsi="Times New Roman"/>
          <w:sz w:val="24"/>
          <w:szCs w:val="24"/>
        </w:rPr>
        <w:t xml:space="preserve">, introduce all’articolo 48, </w:t>
      </w:r>
      <w:r w:rsidRPr="00206B4E">
        <w:rPr>
          <w:rFonts w:ascii="Times New Roman" w:hAnsi="Times New Roman"/>
          <w:sz w:val="24"/>
          <w:szCs w:val="24"/>
        </w:rPr>
        <w:t>del decreto</w:t>
      </w:r>
      <w:r>
        <w:rPr>
          <w:rFonts w:ascii="Times New Roman" w:hAnsi="Times New Roman"/>
          <w:sz w:val="24"/>
          <w:szCs w:val="24"/>
        </w:rPr>
        <w:t xml:space="preserve"> </w:t>
      </w:r>
      <w:r w:rsidRPr="00206B4E">
        <w:rPr>
          <w:rFonts w:ascii="Times New Roman" w:hAnsi="Times New Roman"/>
          <w:sz w:val="24"/>
          <w:szCs w:val="24"/>
        </w:rPr>
        <w:t xml:space="preserve">legge </w:t>
      </w:r>
      <w:r>
        <w:rPr>
          <w:rFonts w:ascii="Times New Roman" w:hAnsi="Times New Roman"/>
          <w:sz w:val="24"/>
          <w:szCs w:val="24"/>
        </w:rPr>
        <w:t xml:space="preserve">n. 50/2017, il nuovo comma </w:t>
      </w:r>
      <w:r w:rsidRPr="00206B4E">
        <w:rPr>
          <w:rFonts w:ascii="Times New Roman" w:hAnsi="Times New Roman"/>
          <w:sz w:val="24"/>
          <w:szCs w:val="24"/>
        </w:rPr>
        <w:t>4-bis</w:t>
      </w:r>
      <w:r>
        <w:rPr>
          <w:rFonts w:ascii="Times New Roman" w:hAnsi="Times New Roman"/>
          <w:sz w:val="24"/>
          <w:szCs w:val="24"/>
        </w:rPr>
        <w:t xml:space="preserve"> che estende </w:t>
      </w:r>
      <w:r w:rsidRPr="00206B4E">
        <w:rPr>
          <w:rFonts w:ascii="Times New Roman" w:hAnsi="Times New Roman"/>
          <w:sz w:val="24"/>
          <w:szCs w:val="24"/>
        </w:rPr>
        <w:t>gli obblighi istruttori e motivazionali</w:t>
      </w:r>
      <w:r>
        <w:rPr>
          <w:rFonts w:ascii="Times New Roman" w:hAnsi="Times New Roman"/>
          <w:sz w:val="24"/>
          <w:szCs w:val="24"/>
        </w:rPr>
        <w:t>,</w:t>
      </w:r>
      <w:r w:rsidRPr="00206B4E">
        <w:rPr>
          <w:rFonts w:ascii="Times New Roman" w:hAnsi="Times New Roman"/>
          <w:sz w:val="24"/>
          <w:szCs w:val="24"/>
        </w:rPr>
        <w:t xml:space="preserve"> gli obblighi ricognitori</w:t>
      </w:r>
      <w:r>
        <w:rPr>
          <w:rFonts w:ascii="Times New Roman" w:hAnsi="Times New Roman"/>
          <w:sz w:val="24"/>
          <w:szCs w:val="24"/>
        </w:rPr>
        <w:t xml:space="preserve"> ed il regime sanzionatorio, </w:t>
      </w:r>
      <w:r w:rsidRPr="00206B4E">
        <w:rPr>
          <w:rFonts w:ascii="Times New Roman" w:hAnsi="Times New Roman"/>
          <w:sz w:val="24"/>
          <w:szCs w:val="24"/>
        </w:rPr>
        <w:t>disposti per i servizi pubblici locali</w:t>
      </w:r>
      <w:r>
        <w:rPr>
          <w:rFonts w:ascii="Times New Roman" w:hAnsi="Times New Roman"/>
          <w:sz w:val="24"/>
          <w:szCs w:val="24"/>
        </w:rPr>
        <w:t>,</w:t>
      </w:r>
      <w:r w:rsidRPr="00206B4E">
        <w:rPr>
          <w:rFonts w:ascii="Times New Roman" w:hAnsi="Times New Roman"/>
          <w:sz w:val="24"/>
          <w:szCs w:val="24"/>
        </w:rPr>
        <w:t xml:space="preserve"> d</w:t>
      </w:r>
      <w:r>
        <w:rPr>
          <w:rFonts w:ascii="Times New Roman" w:hAnsi="Times New Roman"/>
          <w:sz w:val="24"/>
          <w:szCs w:val="24"/>
        </w:rPr>
        <w:t>e</w:t>
      </w:r>
      <w:r w:rsidRPr="00206B4E">
        <w:rPr>
          <w:rFonts w:ascii="Times New Roman" w:hAnsi="Times New Roman"/>
          <w:sz w:val="24"/>
          <w:szCs w:val="24"/>
        </w:rPr>
        <w:t xml:space="preserve">gli articoli 14, commi 2 e 3, 17, 30 e 31 e 31 bis del </w:t>
      </w:r>
      <w:r>
        <w:rPr>
          <w:rFonts w:ascii="Times New Roman" w:hAnsi="Times New Roman"/>
          <w:sz w:val="24"/>
          <w:szCs w:val="24"/>
        </w:rPr>
        <w:t>d</w:t>
      </w:r>
      <w:r w:rsidRPr="00206B4E">
        <w:rPr>
          <w:rFonts w:ascii="Times New Roman" w:hAnsi="Times New Roman"/>
          <w:sz w:val="24"/>
          <w:szCs w:val="24"/>
        </w:rPr>
        <w:t xml:space="preserve">. </w:t>
      </w:r>
      <w:r>
        <w:rPr>
          <w:rFonts w:ascii="Times New Roman" w:hAnsi="Times New Roman"/>
          <w:sz w:val="24"/>
          <w:szCs w:val="24"/>
        </w:rPr>
        <w:t>l</w:t>
      </w:r>
      <w:r w:rsidRPr="00206B4E">
        <w:rPr>
          <w:rFonts w:ascii="Times New Roman" w:hAnsi="Times New Roman"/>
          <w:sz w:val="24"/>
          <w:szCs w:val="24"/>
        </w:rPr>
        <w:t xml:space="preserve">gs. </w:t>
      </w:r>
      <w:r>
        <w:rPr>
          <w:rFonts w:ascii="Times New Roman" w:hAnsi="Times New Roman"/>
          <w:sz w:val="24"/>
          <w:szCs w:val="24"/>
        </w:rPr>
        <w:t xml:space="preserve">23 dicembre 2022, n. </w:t>
      </w:r>
      <w:r w:rsidRPr="00206B4E">
        <w:rPr>
          <w:rFonts w:ascii="Times New Roman" w:hAnsi="Times New Roman"/>
          <w:sz w:val="24"/>
          <w:szCs w:val="24"/>
        </w:rPr>
        <w:t>201</w:t>
      </w:r>
      <w:r>
        <w:rPr>
          <w:rFonts w:ascii="Times New Roman" w:hAnsi="Times New Roman"/>
          <w:sz w:val="24"/>
          <w:szCs w:val="24"/>
        </w:rPr>
        <w:t xml:space="preserve"> </w:t>
      </w:r>
      <w:r w:rsidRPr="00206B4E">
        <w:rPr>
          <w:rFonts w:ascii="Times New Roman" w:hAnsi="Times New Roman"/>
          <w:sz w:val="24"/>
          <w:szCs w:val="24"/>
        </w:rPr>
        <w:t xml:space="preserve">anche </w:t>
      </w:r>
      <w:r>
        <w:rPr>
          <w:rFonts w:ascii="Times New Roman" w:hAnsi="Times New Roman"/>
          <w:sz w:val="24"/>
          <w:szCs w:val="24"/>
        </w:rPr>
        <w:t>al</w:t>
      </w:r>
      <w:r w:rsidRPr="00206B4E">
        <w:rPr>
          <w:rFonts w:ascii="Times New Roman" w:hAnsi="Times New Roman"/>
          <w:sz w:val="24"/>
          <w:szCs w:val="24"/>
        </w:rPr>
        <w:t xml:space="preserve"> servizio</w:t>
      </w:r>
      <w:r w:rsidRPr="00206B4E">
        <w:rPr>
          <w:rFonts w:ascii="Times New Roman" w:hAnsi="Times New Roman"/>
          <w:b/>
          <w:bCs/>
          <w:sz w:val="24"/>
          <w:szCs w:val="24"/>
        </w:rPr>
        <w:t xml:space="preserve"> </w:t>
      </w:r>
      <w:r w:rsidRPr="00206B4E">
        <w:rPr>
          <w:rFonts w:ascii="Times New Roman" w:hAnsi="Times New Roman"/>
          <w:sz w:val="24"/>
          <w:szCs w:val="24"/>
        </w:rPr>
        <w:t>pubblico di trasporto ferroviario e su gomma di competenza regionale.</w:t>
      </w:r>
    </w:p>
    <w:p w14:paraId="65509529" w14:textId="77777777" w:rsidR="00432090" w:rsidRPr="00206B4E" w:rsidRDefault="00432090" w:rsidP="00432090">
      <w:pPr>
        <w:spacing w:after="60" w:line="276" w:lineRule="auto"/>
        <w:jc w:val="both"/>
        <w:rPr>
          <w:rFonts w:ascii="Times New Roman" w:hAnsi="Times New Roman"/>
          <w:sz w:val="24"/>
          <w:szCs w:val="24"/>
        </w:rPr>
      </w:pPr>
      <w:r w:rsidRPr="00206B4E">
        <w:rPr>
          <w:rFonts w:ascii="Times New Roman" w:hAnsi="Times New Roman"/>
          <w:sz w:val="24"/>
          <w:szCs w:val="24"/>
        </w:rPr>
        <w:lastRenderedPageBreak/>
        <w:t xml:space="preserve">In tal modo l’ente competente, nel momento stesso in cui effettua la scelta sulla modalità di gestione del servizio, e dunque prima dell’avvio della procedura di affidamento, dovrebbe tenere conto di una serie di elementi relativi all’offerta del servizio interessato (come quelli indicati dall’articolo 14, comma 2) e riportare gli esiti delle proprie valutazioni in una apposita relazione nella quale evidenziare altresì le ragioni e la sussistenza dei requisiti previsti dalla normativa europea per la forma dell’affidamento prescelta (articolo 14, comma 3). Allo stesso modo, nel caso di gestioni </w:t>
      </w:r>
      <w:r w:rsidRPr="00206B4E">
        <w:rPr>
          <w:rFonts w:ascii="Times New Roman" w:hAnsi="Times New Roman"/>
          <w:i/>
          <w:iCs/>
          <w:sz w:val="24"/>
          <w:szCs w:val="24"/>
        </w:rPr>
        <w:t>in house</w:t>
      </w:r>
      <w:r w:rsidRPr="00206B4E">
        <w:rPr>
          <w:rFonts w:ascii="Times New Roman" w:hAnsi="Times New Roman"/>
          <w:sz w:val="24"/>
          <w:szCs w:val="24"/>
        </w:rPr>
        <w:t xml:space="preserve">, l’ente dovrebbe adottare la deliberazione di affidamento del servizio sulla base di una qualificata motivazione che dia espressamente conto delle ragioni del mancato ricorso al mercato, tenendo conto degli elementi e dei criteri individuati per i servizi pubblici locali dall’articolo 17 del </w:t>
      </w:r>
      <w:r>
        <w:rPr>
          <w:rFonts w:ascii="Times New Roman" w:hAnsi="Times New Roman"/>
          <w:sz w:val="24"/>
          <w:szCs w:val="24"/>
        </w:rPr>
        <w:t>d</w:t>
      </w:r>
      <w:r w:rsidRPr="00206B4E">
        <w:rPr>
          <w:rFonts w:ascii="Times New Roman" w:hAnsi="Times New Roman"/>
          <w:sz w:val="24"/>
          <w:szCs w:val="24"/>
        </w:rPr>
        <w:t xml:space="preserve">. </w:t>
      </w:r>
      <w:r>
        <w:rPr>
          <w:rFonts w:ascii="Times New Roman" w:hAnsi="Times New Roman"/>
          <w:sz w:val="24"/>
          <w:szCs w:val="24"/>
        </w:rPr>
        <w:t>l</w:t>
      </w:r>
      <w:r w:rsidRPr="00206B4E">
        <w:rPr>
          <w:rFonts w:ascii="Times New Roman" w:hAnsi="Times New Roman"/>
          <w:sz w:val="24"/>
          <w:szCs w:val="24"/>
        </w:rPr>
        <w:t xml:space="preserve">gs. </w:t>
      </w:r>
      <w:r>
        <w:rPr>
          <w:rFonts w:ascii="Times New Roman" w:hAnsi="Times New Roman"/>
          <w:sz w:val="24"/>
          <w:szCs w:val="24"/>
        </w:rPr>
        <w:t xml:space="preserve">n. </w:t>
      </w:r>
      <w:r w:rsidRPr="00206B4E">
        <w:rPr>
          <w:rFonts w:ascii="Times New Roman" w:hAnsi="Times New Roman"/>
          <w:sz w:val="24"/>
          <w:szCs w:val="24"/>
        </w:rPr>
        <w:t>201</w:t>
      </w:r>
      <w:r>
        <w:rPr>
          <w:rFonts w:ascii="Times New Roman" w:hAnsi="Times New Roman"/>
          <w:sz w:val="24"/>
          <w:szCs w:val="24"/>
        </w:rPr>
        <w:t>/</w:t>
      </w:r>
      <w:r w:rsidRPr="00206B4E">
        <w:rPr>
          <w:rFonts w:ascii="Times New Roman" w:hAnsi="Times New Roman"/>
          <w:sz w:val="24"/>
          <w:szCs w:val="24"/>
        </w:rPr>
        <w:t>2022.</w:t>
      </w:r>
    </w:p>
    <w:p w14:paraId="5F772D25" w14:textId="77777777" w:rsidR="00432090" w:rsidRPr="00206B4E" w:rsidRDefault="00432090" w:rsidP="00432090">
      <w:pPr>
        <w:spacing w:after="60" w:line="276" w:lineRule="auto"/>
        <w:jc w:val="both"/>
        <w:rPr>
          <w:rFonts w:ascii="Times New Roman" w:hAnsi="Times New Roman"/>
          <w:sz w:val="24"/>
          <w:szCs w:val="24"/>
        </w:rPr>
      </w:pPr>
      <w:r w:rsidRPr="00206B4E">
        <w:rPr>
          <w:rFonts w:ascii="Times New Roman" w:hAnsi="Times New Roman"/>
          <w:sz w:val="24"/>
          <w:szCs w:val="24"/>
        </w:rPr>
        <w:t xml:space="preserve">Inoltre, la previsione anche per tali affidamenti degli obblighi di ricognizione sull’andamento gestionale del servizio di trasporto affidato, come stabiliti dall’articolo 30 del </w:t>
      </w:r>
      <w:r>
        <w:rPr>
          <w:rFonts w:ascii="Times New Roman" w:hAnsi="Times New Roman"/>
          <w:sz w:val="24"/>
          <w:szCs w:val="24"/>
        </w:rPr>
        <w:t>d</w:t>
      </w:r>
      <w:r w:rsidRPr="00206B4E">
        <w:rPr>
          <w:rFonts w:ascii="Times New Roman" w:hAnsi="Times New Roman"/>
          <w:sz w:val="24"/>
          <w:szCs w:val="24"/>
        </w:rPr>
        <w:t xml:space="preserve">. </w:t>
      </w:r>
      <w:r>
        <w:rPr>
          <w:rFonts w:ascii="Times New Roman" w:hAnsi="Times New Roman"/>
          <w:sz w:val="24"/>
          <w:szCs w:val="24"/>
        </w:rPr>
        <w:t>l</w:t>
      </w:r>
      <w:r w:rsidRPr="00206B4E">
        <w:rPr>
          <w:rFonts w:ascii="Times New Roman" w:hAnsi="Times New Roman"/>
          <w:sz w:val="24"/>
          <w:szCs w:val="24"/>
        </w:rPr>
        <w:t>gs. n. 201</w:t>
      </w:r>
      <w:r>
        <w:rPr>
          <w:rFonts w:ascii="Times New Roman" w:hAnsi="Times New Roman"/>
          <w:sz w:val="24"/>
          <w:szCs w:val="24"/>
        </w:rPr>
        <w:t>/</w:t>
      </w:r>
      <w:r w:rsidRPr="00206B4E">
        <w:rPr>
          <w:rFonts w:ascii="Times New Roman" w:hAnsi="Times New Roman"/>
          <w:sz w:val="24"/>
          <w:szCs w:val="24"/>
        </w:rPr>
        <w:t>2022, consente di rafforzare l’orientamento al risultato nelle scelte degli enti competenti, rilevando anche per tali servizi il concreto andamento dal punto di vista economico, dell’efficienza, della qualità del servizio e del rispetto degli obblighi indicati nel contratto di servizio.</w:t>
      </w:r>
    </w:p>
    <w:p w14:paraId="7A0BC9D1" w14:textId="77777777" w:rsidR="00432090" w:rsidRDefault="00432090" w:rsidP="00432090">
      <w:pPr>
        <w:spacing w:after="60" w:line="276" w:lineRule="auto"/>
        <w:jc w:val="both"/>
        <w:rPr>
          <w:rFonts w:ascii="Times New Roman" w:hAnsi="Times New Roman"/>
          <w:sz w:val="24"/>
          <w:szCs w:val="24"/>
        </w:rPr>
      </w:pPr>
      <w:r>
        <w:rPr>
          <w:rFonts w:ascii="Times New Roman" w:hAnsi="Times New Roman"/>
          <w:sz w:val="24"/>
          <w:szCs w:val="24"/>
        </w:rPr>
        <w:t xml:space="preserve">Ai fini della </w:t>
      </w:r>
      <w:r w:rsidRPr="00206B4E">
        <w:rPr>
          <w:rFonts w:ascii="Times New Roman" w:hAnsi="Times New Roman"/>
          <w:sz w:val="24"/>
          <w:szCs w:val="24"/>
        </w:rPr>
        <w:t xml:space="preserve">trasparenza, gli atti in questione devono essere pubblicati sul portale telematico di ANAC, ai sensi di quanto previsto dall’articolo 31 del </w:t>
      </w:r>
      <w:r>
        <w:rPr>
          <w:rFonts w:ascii="Times New Roman" w:hAnsi="Times New Roman"/>
          <w:sz w:val="24"/>
          <w:szCs w:val="24"/>
        </w:rPr>
        <w:t>d</w:t>
      </w:r>
      <w:r w:rsidRPr="00206B4E">
        <w:rPr>
          <w:rFonts w:ascii="Times New Roman" w:hAnsi="Times New Roman"/>
          <w:sz w:val="24"/>
          <w:szCs w:val="24"/>
        </w:rPr>
        <w:t xml:space="preserve">. </w:t>
      </w:r>
      <w:r>
        <w:rPr>
          <w:rFonts w:ascii="Times New Roman" w:hAnsi="Times New Roman"/>
          <w:sz w:val="24"/>
          <w:szCs w:val="24"/>
        </w:rPr>
        <w:t>l</w:t>
      </w:r>
      <w:r w:rsidRPr="00206B4E">
        <w:rPr>
          <w:rFonts w:ascii="Times New Roman" w:hAnsi="Times New Roman"/>
          <w:sz w:val="24"/>
          <w:szCs w:val="24"/>
        </w:rPr>
        <w:t>gs. 201</w:t>
      </w:r>
      <w:r>
        <w:rPr>
          <w:rFonts w:ascii="Times New Roman" w:hAnsi="Times New Roman"/>
          <w:sz w:val="24"/>
          <w:szCs w:val="24"/>
        </w:rPr>
        <w:t>/</w:t>
      </w:r>
      <w:r w:rsidRPr="00206B4E">
        <w:rPr>
          <w:rFonts w:ascii="Times New Roman" w:hAnsi="Times New Roman"/>
          <w:sz w:val="24"/>
          <w:szCs w:val="24"/>
        </w:rPr>
        <w:t>2022 per i servizi pubblici locali.</w:t>
      </w:r>
      <w:r>
        <w:rPr>
          <w:rFonts w:ascii="Times New Roman" w:hAnsi="Times New Roman"/>
          <w:sz w:val="24"/>
          <w:szCs w:val="24"/>
        </w:rPr>
        <w:t xml:space="preserve"> Infine, si prevede l’applicazione del regime sanzionatorio di cui all’art. 31-bis (introdotto dall’art. 2 della presente legge).</w:t>
      </w:r>
    </w:p>
    <w:p w14:paraId="314A4DEA" w14:textId="77777777" w:rsidR="00432090" w:rsidRPr="00206B4E" w:rsidRDefault="00432090" w:rsidP="00432090">
      <w:pPr>
        <w:spacing w:after="60" w:line="276" w:lineRule="auto"/>
        <w:jc w:val="both"/>
        <w:rPr>
          <w:rFonts w:ascii="Times New Roman" w:hAnsi="Times New Roman"/>
          <w:sz w:val="24"/>
          <w:szCs w:val="24"/>
        </w:rPr>
      </w:pPr>
      <w:r w:rsidRPr="00C22DE6">
        <w:rPr>
          <w:rFonts w:ascii="Times New Roman" w:hAnsi="Times New Roman"/>
          <w:sz w:val="24"/>
          <w:szCs w:val="24"/>
        </w:rPr>
        <w:t>Il</w:t>
      </w:r>
      <w:r>
        <w:rPr>
          <w:rFonts w:ascii="Times New Roman" w:hAnsi="Times New Roman"/>
          <w:b/>
          <w:bCs/>
          <w:sz w:val="24"/>
          <w:szCs w:val="24"/>
        </w:rPr>
        <w:t xml:space="preserve"> comma 2 </w:t>
      </w:r>
      <w:r w:rsidRPr="00206B4E">
        <w:rPr>
          <w:rFonts w:ascii="Times New Roman" w:hAnsi="Times New Roman"/>
          <w:sz w:val="24"/>
          <w:szCs w:val="24"/>
        </w:rPr>
        <w:t>apporta modifiche all’articolo 9 della legge 5 agosto 2022, n. 118, recante disposizioni in materia di trasporto pubblico locale</w:t>
      </w:r>
      <w:r>
        <w:rPr>
          <w:rFonts w:ascii="Times New Roman" w:hAnsi="Times New Roman"/>
          <w:sz w:val="24"/>
          <w:szCs w:val="24"/>
        </w:rPr>
        <w:t xml:space="preserve"> e regionale</w:t>
      </w:r>
      <w:r w:rsidRPr="00206B4E">
        <w:rPr>
          <w:rFonts w:ascii="Times New Roman" w:hAnsi="Times New Roman"/>
          <w:sz w:val="24"/>
          <w:szCs w:val="24"/>
        </w:rPr>
        <w:t xml:space="preserve">, al fine di introdurre misure volte </w:t>
      </w:r>
      <w:r>
        <w:rPr>
          <w:rFonts w:ascii="Times New Roman" w:hAnsi="Times New Roman"/>
          <w:sz w:val="24"/>
          <w:szCs w:val="24"/>
        </w:rPr>
        <w:t xml:space="preserve">a garantire la massima trasparenza e </w:t>
      </w:r>
      <w:r w:rsidRPr="00206B4E">
        <w:rPr>
          <w:rFonts w:ascii="Times New Roman" w:hAnsi="Times New Roman"/>
          <w:sz w:val="24"/>
          <w:szCs w:val="24"/>
        </w:rPr>
        <w:t xml:space="preserve">a favorire la più ampia partecipazione degli operatori economici alle procedure di affidamento dei servizi di trasporto pubblico </w:t>
      </w:r>
      <w:r>
        <w:rPr>
          <w:rFonts w:ascii="Times New Roman" w:hAnsi="Times New Roman"/>
          <w:sz w:val="24"/>
          <w:szCs w:val="24"/>
        </w:rPr>
        <w:t>ferroviario di competenza regionale</w:t>
      </w:r>
      <w:r w:rsidRPr="00206B4E">
        <w:rPr>
          <w:rFonts w:ascii="Times New Roman" w:hAnsi="Times New Roman"/>
          <w:sz w:val="24"/>
          <w:szCs w:val="24"/>
        </w:rPr>
        <w:t>, in particolare mediante la messa a punto di strumenti diretti ad assicurare la prevedibilità delle tempistiche di avvio delle suddette procedure di affidamento, a vantaggio dei potenziali partecipanti.</w:t>
      </w:r>
    </w:p>
    <w:p w14:paraId="0A9BCE92" w14:textId="77777777" w:rsidR="00432090" w:rsidRPr="00206B4E" w:rsidRDefault="00432090" w:rsidP="00432090">
      <w:pPr>
        <w:spacing w:after="60" w:line="276" w:lineRule="auto"/>
        <w:jc w:val="both"/>
        <w:rPr>
          <w:rFonts w:ascii="Times New Roman" w:hAnsi="Times New Roman"/>
          <w:sz w:val="24"/>
          <w:szCs w:val="24"/>
        </w:rPr>
      </w:pPr>
      <w:r w:rsidRPr="00206B4E">
        <w:rPr>
          <w:rFonts w:ascii="Times New Roman" w:hAnsi="Times New Roman"/>
          <w:sz w:val="24"/>
          <w:szCs w:val="24"/>
        </w:rPr>
        <w:t xml:space="preserve">Nel dettaglio, la novella in esame, al </w:t>
      </w:r>
      <w:r w:rsidRPr="00F1098A">
        <w:rPr>
          <w:rFonts w:ascii="Times New Roman" w:hAnsi="Times New Roman"/>
          <w:b/>
          <w:bCs/>
          <w:sz w:val="24"/>
          <w:szCs w:val="24"/>
        </w:rPr>
        <w:t xml:space="preserve">comma </w:t>
      </w:r>
      <w:r>
        <w:rPr>
          <w:rFonts w:ascii="Times New Roman" w:hAnsi="Times New Roman"/>
          <w:b/>
          <w:bCs/>
          <w:sz w:val="24"/>
          <w:szCs w:val="24"/>
        </w:rPr>
        <w:t>2</w:t>
      </w:r>
      <w:r w:rsidRPr="00206B4E">
        <w:rPr>
          <w:rFonts w:ascii="Times New Roman" w:hAnsi="Times New Roman"/>
          <w:sz w:val="24"/>
          <w:szCs w:val="24"/>
        </w:rPr>
        <w:t xml:space="preserve">, </w:t>
      </w:r>
      <w:r w:rsidRPr="003F756F">
        <w:rPr>
          <w:rFonts w:ascii="Times New Roman" w:hAnsi="Times New Roman"/>
          <w:b/>
          <w:bCs/>
          <w:sz w:val="24"/>
          <w:szCs w:val="24"/>
        </w:rPr>
        <w:t>lettera a),</w:t>
      </w:r>
      <w:r w:rsidRPr="00206B4E">
        <w:rPr>
          <w:rFonts w:ascii="Times New Roman" w:hAnsi="Times New Roman"/>
          <w:sz w:val="24"/>
          <w:szCs w:val="24"/>
        </w:rPr>
        <w:t xml:space="preserve"> inserisce un nuovo comma 1-bis al citato articolo 9 della legge n. 118</w:t>
      </w:r>
      <w:r>
        <w:rPr>
          <w:rFonts w:ascii="Times New Roman" w:hAnsi="Times New Roman"/>
          <w:sz w:val="24"/>
          <w:szCs w:val="24"/>
        </w:rPr>
        <w:t>/</w:t>
      </w:r>
      <w:r w:rsidRPr="00206B4E">
        <w:rPr>
          <w:rFonts w:ascii="Times New Roman" w:hAnsi="Times New Roman"/>
          <w:sz w:val="24"/>
          <w:szCs w:val="24"/>
        </w:rPr>
        <w:t xml:space="preserve">2022, con il quale si prevede l’obbligo, da parte delle </w:t>
      </w:r>
      <w:r>
        <w:rPr>
          <w:rFonts w:ascii="Times New Roman" w:hAnsi="Times New Roman"/>
          <w:sz w:val="24"/>
          <w:szCs w:val="24"/>
        </w:rPr>
        <w:t>R</w:t>
      </w:r>
      <w:r w:rsidRPr="00206B4E">
        <w:rPr>
          <w:rFonts w:ascii="Times New Roman" w:hAnsi="Times New Roman"/>
          <w:sz w:val="24"/>
          <w:szCs w:val="24"/>
        </w:rPr>
        <w:t xml:space="preserve">egioni e delle </w:t>
      </w:r>
      <w:r>
        <w:rPr>
          <w:rFonts w:ascii="Times New Roman" w:hAnsi="Times New Roman"/>
          <w:sz w:val="24"/>
          <w:szCs w:val="24"/>
        </w:rPr>
        <w:t>P</w:t>
      </w:r>
      <w:r w:rsidRPr="00206B4E">
        <w:rPr>
          <w:rFonts w:ascii="Times New Roman" w:hAnsi="Times New Roman"/>
          <w:sz w:val="24"/>
          <w:szCs w:val="24"/>
        </w:rPr>
        <w:t>rovince autonome</w:t>
      </w:r>
      <w:r>
        <w:rPr>
          <w:rFonts w:ascii="Times New Roman" w:hAnsi="Times New Roman"/>
          <w:sz w:val="24"/>
          <w:szCs w:val="24"/>
        </w:rPr>
        <w:t xml:space="preserve"> di Trento e Bolzano</w:t>
      </w:r>
      <w:r w:rsidRPr="00206B4E">
        <w:rPr>
          <w:rFonts w:ascii="Times New Roman" w:hAnsi="Times New Roman"/>
          <w:sz w:val="24"/>
          <w:szCs w:val="24"/>
        </w:rPr>
        <w:t>, di trasmettere all’Osservatorio nazionale per il supporto alla programmazione e per il monitoraggio del trasporto pubblico locale e della mobilità locale sostenibile, istituito presso il Ministero delle infrastrutture e dei trasporti</w:t>
      </w:r>
      <w:r>
        <w:rPr>
          <w:rFonts w:ascii="Times New Roman" w:hAnsi="Times New Roman"/>
          <w:sz w:val="24"/>
          <w:szCs w:val="24"/>
        </w:rPr>
        <w:t xml:space="preserve">, </w:t>
      </w:r>
      <w:r w:rsidRPr="00206B4E">
        <w:rPr>
          <w:rFonts w:ascii="Times New Roman" w:hAnsi="Times New Roman"/>
          <w:sz w:val="24"/>
          <w:szCs w:val="24"/>
        </w:rPr>
        <w:t xml:space="preserve">appositi calendari che contengono la specifica indicazione delle procedure di evidenza pubblica programmate per i servizi di trasporto </w:t>
      </w:r>
      <w:r>
        <w:rPr>
          <w:rFonts w:ascii="Times New Roman" w:hAnsi="Times New Roman"/>
          <w:sz w:val="24"/>
          <w:szCs w:val="24"/>
        </w:rPr>
        <w:t>ferroviario</w:t>
      </w:r>
      <w:r w:rsidRPr="00206B4E">
        <w:rPr>
          <w:rFonts w:ascii="Times New Roman" w:hAnsi="Times New Roman"/>
          <w:sz w:val="24"/>
          <w:szCs w:val="24"/>
        </w:rPr>
        <w:t xml:space="preserve"> regionale </w:t>
      </w:r>
      <w:r>
        <w:rPr>
          <w:rFonts w:ascii="Times New Roman" w:hAnsi="Times New Roman"/>
          <w:sz w:val="24"/>
          <w:szCs w:val="24"/>
        </w:rPr>
        <w:t>sul</w:t>
      </w:r>
      <w:r w:rsidRPr="00206B4E">
        <w:rPr>
          <w:rFonts w:ascii="Times New Roman" w:hAnsi="Times New Roman"/>
          <w:sz w:val="24"/>
          <w:szCs w:val="24"/>
        </w:rPr>
        <w:t xml:space="preserve"> proprio territorio</w:t>
      </w:r>
      <w:r>
        <w:rPr>
          <w:rFonts w:ascii="Times New Roman" w:hAnsi="Times New Roman"/>
          <w:sz w:val="24"/>
          <w:szCs w:val="24"/>
        </w:rPr>
        <w:t xml:space="preserve"> </w:t>
      </w:r>
      <w:r w:rsidRPr="009B0AB1">
        <w:rPr>
          <w:rFonts w:ascii="Times New Roman" w:hAnsi="Times New Roman"/>
          <w:sz w:val="24"/>
          <w:szCs w:val="24"/>
        </w:rPr>
        <w:t>relativi ai contratti in scadenza</w:t>
      </w:r>
      <w:r w:rsidRPr="00206B4E">
        <w:rPr>
          <w:rFonts w:ascii="Times New Roman" w:hAnsi="Times New Roman"/>
          <w:sz w:val="24"/>
          <w:szCs w:val="24"/>
        </w:rPr>
        <w:t>.</w:t>
      </w:r>
    </w:p>
    <w:p w14:paraId="1650723C" w14:textId="77777777" w:rsidR="00432090" w:rsidRPr="00206B4E" w:rsidRDefault="00432090" w:rsidP="00432090">
      <w:pPr>
        <w:spacing w:after="60" w:line="276" w:lineRule="auto"/>
        <w:jc w:val="both"/>
        <w:rPr>
          <w:rFonts w:ascii="Times New Roman" w:hAnsi="Times New Roman"/>
          <w:sz w:val="24"/>
          <w:szCs w:val="24"/>
        </w:rPr>
      </w:pPr>
      <w:r>
        <w:rPr>
          <w:rFonts w:ascii="Times New Roman" w:hAnsi="Times New Roman"/>
          <w:sz w:val="24"/>
          <w:szCs w:val="24"/>
        </w:rPr>
        <w:t>I suddetti calendari</w:t>
      </w:r>
      <w:r w:rsidRPr="00206B4E">
        <w:rPr>
          <w:rFonts w:ascii="Times New Roman" w:hAnsi="Times New Roman"/>
          <w:sz w:val="24"/>
          <w:szCs w:val="24"/>
        </w:rPr>
        <w:t xml:space="preserve"> dovr</w:t>
      </w:r>
      <w:r>
        <w:rPr>
          <w:rFonts w:ascii="Times New Roman" w:hAnsi="Times New Roman"/>
          <w:sz w:val="24"/>
          <w:szCs w:val="24"/>
        </w:rPr>
        <w:t>anno</w:t>
      </w:r>
      <w:r w:rsidRPr="00206B4E">
        <w:rPr>
          <w:rFonts w:ascii="Times New Roman" w:hAnsi="Times New Roman"/>
          <w:sz w:val="24"/>
          <w:szCs w:val="24"/>
        </w:rPr>
        <w:t xml:space="preserve"> essere trasmess</w:t>
      </w:r>
      <w:r>
        <w:rPr>
          <w:rFonts w:ascii="Times New Roman" w:hAnsi="Times New Roman"/>
          <w:sz w:val="24"/>
          <w:szCs w:val="24"/>
        </w:rPr>
        <w:t>i</w:t>
      </w:r>
      <w:r w:rsidRPr="00206B4E">
        <w:rPr>
          <w:rFonts w:ascii="Times New Roman" w:hAnsi="Times New Roman"/>
          <w:sz w:val="24"/>
          <w:szCs w:val="24"/>
        </w:rPr>
        <w:t xml:space="preserve"> all’Osservatorio entro lo stesso termine per l’invio dell’attestazione di cui all’art. 9, co. 1 della legge </w:t>
      </w:r>
      <w:r>
        <w:rPr>
          <w:rFonts w:ascii="Times New Roman" w:hAnsi="Times New Roman"/>
          <w:sz w:val="24"/>
          <w:szCs w:val="24"/>
        </w:rPr>
        <w:t xml:space="preserve">n. </w:t>
      </w:r>
      <w:r w:rsidRPr="00206B4E">
        <w:rPr>
          <w:rFonts w:ascii="Times New Roman" w:hAnsi="Times New Roman"/>
          <w:sz w:val="24"/>
          <w:szCs w:val="24"/>
        </w:rPr>
        <w:t>118</w:t>
      </w:r>
      <w:r>
        <w:rPr>
          <w:rFonts w:ascii="Times New Roman" w:hAnsi="Times New Roman"/>
          <w:sz w:val="24"/>
          <w:szCs w:val="24"/>
        </w:rPr>
        <w:t>/</w:t>
      </w:r>
      <w:r w:rsidRPr="00206B4E">
        <w:rPr>
          <w:rFonts w:ascii="Times New Roman" w:hAnsi="Times New Roman"/>
          <w:sz w:val="24"/>
          <w:szCs w:val="24"/>
        </w:rPr>
        <w:t>2022 (31 maggio di ciascun anno).</w:t>
      </w:r>
    </w:p>
    <w:p w14:paraId="273B2E4E" w14:textId="77777777" w:rsidR="00432090" w:rsidRPr="000C39E4" w:rsidRDefault="00432090" w:rsidP="00432090">
      <w:pPr>
        <w:spacing w:after="60" w:line="276" w:lineRule="auto"/>
        <w:jc w:val="both"/>
        <w:rPr>
          <w:rFonts w:ascii="Times New Roman" w:hAnsi="Times New Roman"/>
          <w:sz w:val="24"/>
          <w:szCs w:val="24"/>
        </w:rPr>
      </w:pPr>
      <w:r w:rsidRPr="00206B4E">
        <w:rPr>
          <w:rFonts w:ascii="Times New Roman" w:hAnsi="Times New Roman"/>
          <w:sz w:val="24"/>
          <w:szCs w:val="24"/>
        </w:rPr>
        <w:t xml:space="preserve">Inoltre, al fine di assicurare l’omogeneità dei dati trasmessi all’Osservatorio, si prevede che </w:t>
      </w:r>
      <w:r>
        <w:rPr>
          <w:rFonts w:ascii="Times New Roman" w:hAnsi="Times New Roman"/>
          <w:sz w:val="24"/>
          <w:szCs w:val="24"/>
        </w:rPr>
        <w:t xml:space="preserve">i calendari in questione </w:t>
      </w:r>
      <w:r w:rsidRPr="00206B4E">
        <w:rPr>
          <w:rFonts w:ascii="Times New Roman" w:hAnsi="Times New Roman"/>
          <w:sz w:val="24"/>
          <w:szCs w:val="24"/>
        </w:rPr>
        <w:t>sia</w:t>
      </w:r>
      <w:r>
        <w:rPr>
          <w:rFonts w:ascii="Times New Roman" w:hAnsi="Times New Roman"/>
          <w:sz w:val="24"/>
          <w:szCs w:val="24"/>
        </w:rPr>
        <w:t>no</w:t>
      </w:r>
      <w:r w:rsidRPr="00206B4E">
        <w:rPr>
          <w:rFonts w:ascii="Times New Roman" w:hAnsi="Times New Roman"/>
          <w:sz w:val="24"/>
          <w:szCs w:val="24"/>
        </w:rPr>
        <w:t xml:space="preserve"> trasmess</w:t>
      </w:r>
      <w:r>
        <w:rPr>
          <w:rFonts w:ascii="Times New Roman" w:hAnsi="Times New Roman"/>
          <w:sz w:val="24"/>
          <w:szCs w:val="24"/>
        </w:rPr>
        <w:t>i</w:t>
      </w:r>
      <w:r w:rsidRPr="00206B4E">
        <w:rPr>
          <w:rFonts w:ascii="Times New Roman" w:hAnsi="Times New Roman"/>
          <w:sz w:val="24"/>
          <w:szCs w:val="24"/>
        </w:rPr>
        <w:t xml:space="preserve"> da parte delle </w:t>
      </w:r>
      <w:r>
        <w:rPr>
          <w:rFonts w:ascii="Times New Roman" w:hAnsi="Times New Roman"/>
          <w:sz w:val="24"/>
          <w:szCs w:val="24"/>
        </w:rPr>
        <w:t>R</w:t>
      </w:r>
      <w:r w:rsidRPr="00206B4E">
        <w:rPr>
          <w:rFonts w:ascii="Times New Roman" w:hAnsi="Times New Roman"/>
          <w:sz w:val="24"/>
          <w:szCs w:val="24"/>
        </w:rPr>
        <w:t xml:space="preserve">egioni e delle </w:t>
      </w:r>
      <w:r>
        <w:rPr>
          <w:rFonts w:ascii="Times New Roman" w:hAnsi="Times New Roman"/>
          <w:sz w:val="24"/>
          <w:szCs w:val="24"/>
        </w:rPr>
        <w:t>P</w:t>
      </w:r>
      <w:r w:rsidRPr="00206B4E">
        <w:rPr>
          <w:rFonts w:ascii="Times New Roman" w:hAnsi="Times New Roman"/>
          <w:sz w:val="24"/>
          <w:szCs w:val="24"/>
        </w:rPr>
        <w:t xml:space="preserve">rovince autonome secondo </w:t>
      </w:r>
      <w:r>
        <w:rPr>
          <w:rFonts w:ascii="Times New Roman" w:hAnsi="Times New Roman"/>
          <w:sz w:val="24"/>
          <w:szCs w:val="24"/>
        </w:rPr>
        <w:t>un modello definito</w:t>
      </w:r>
      <w:r w:rsidRPr="00206B4E">
        <w:rPr>
          <w:rFonts w:ascii="Times New Roman" w:hAnsi="Times New Roman"/>
          <w:sz w:val="24"/>
          <w:szCs w:val="24"/>
        </w:rPr>
        <w:t xml:space="preserve"> con decreto</w:t>
      </w:r>
      <w:r>
        <w:rPr>
          <w:rFonts w:ascii="Times New Roman" w:hAnsi="Times New Roman"/>
          <w:sz w:val="24"/>
          <w:szCs w:val="24"/>
        </w:rPr>
        <w:t xml:space="preserve"> direttoriale</w:t>
      </w:r>
      <w:r w:rsidRPr="00206B4E">
        <w:rPr>
          <w:rFonts w:ascii="Times New Roman" w:hAnsi="Times New Roman"/>
          <w:sz w:val="24"/>
          <w:szCs w:val="24"/>
        </w:rPr>
        <w:t xml:space="preserve"> del Ministero delle infrastrutture e dei trasporti. </w:t>
      </w:r>
      <w:r>
        <w:rPr>
          <w:rFonts w:ascii="Times New Roman" w:hAnsi="Times New Roman"/>
          <w:sz w:val="24"/>
          <w:szCs w:val="24"/>
        </w:rPr>
        <w:t>I calendari</w:t>
      </w:r>
      <w:r w:rsidRPr="00206B4E">
        <w:rPr>
          <w:rFonts w:ascii="Times New Roman" w:hAnsi="Times New Roman"/>
          <w:sz w:val="24"/>
          <w:szCs w:val="24"/>
        </w:rPr>
        <w:t xml:space="preserve"> saranno poi pubblicat</w:t>
      </w:r>
      <w:r>
        <w:rPr>
          <w:rFonts w:ascii="Times New Roman" w:hAnsi="Times New Roman"/>
          <w:sz w:val="24"/>
          <w:szCs w:val="24"/>
        </w:rPr>
        <w:t>i</w:t>
      </w:r>
      <w:r w:rsidRPr="00206B4E">
        <w:rPr>
          <w:rFonts w:ascii="Times New Roman" w:hAnsi="Times New Roman"/>
          <w:sz w:val="24"/>
          <w:szCs w:val="24"/>
        </w:rPr>
        <w:t xml:space="preserve"> sul sito del Ministero delle infrastrutture e dei trasporti entro </w:t>
      </w:r>
      <w:r>
        <w:rPr>
          <w:rFonts w:ascii="Times New Roman" w:hAnsi="Times New Roman"/>
          <w:sz w:val="24"/>
          <w:szCs w:val="24"/>
        </w:rPr>
        <w:t>i successivi due mesi</w:t>
      </w:r>
      <w:r w:rsidRPr="00206B4E">
        <w:rPr>
          <w:rFonts w:ascii="Times New Roman" w:hAnsi="Times New Roman"/>
          <w:sz w:val="24"/>
          <w:szCs w:val="24"/>
        </w:rPr>
        <w:t>.</w:t>
      </w:r>
      <w:r>
        <w:rPr>
          <w:rFonts w:ascii="Times New Roman" w:hAnsi="Times New Roman"/>
          <w:sz w:val="24"/>
          <w:szCs w:val="24"/>
        </w:rPr>
        <w:t xml:space="preserve"> La disposizione precisa, in fine, che i</w:t>
      </w:r>
      <w:r w:rsidRPr="009B0AB1">
        <w:rPr>
          <w:rFonts w:ascii="Times New Roman" w:hAnsi="Times New Roman"/>
          <w:sz w:val="24"/>
          <w:szCs w:val="24"/>
        </w:rPr>
        <w:t xml:space="preserve">n sede di prima applicazione, i calendari </w:t>
      </w:r>
      <w:r w:rsidRPr="000C39E4">
        <w:rPr>
          <w:rFonts w:ascii="Times New Roman" w:hAnsi="Times New Roman"/>
          <w:sz w:val="24"/>
          <w:szCs w:val="24"/>
        </w:rPr>
        <w:t>recano evidenza dell’elenco degli affidamenti programmati fino al 2033</w:t>
      </w:r>
      <w:r>
        <w:rPr>
          <w:rFonts w:ascii="Times New Roman" w:hAnsi="Times New Roman"/>
          <w:sz w:val="24"/>
          <w:szCs w:val="24"/>
        </w:rPr>
        <w:t xml:space="preserve"> e che al loro </w:t>
      </w:r>
      <w:r w:rsidRPr="000C39E4">
        <w:rPr>
          <w:rFonts w:ascii="Times New Roman" w:hAnsi="Times New Roman"/>
          <w:sz w:val="24"/>
          <w:szCs w:val="24"/>
        </w:rPr>
        <w:t xml:space="preserve">aggiornamento si provvede con le </w:t>
      </w:r>
      <w:r>
        <w:rPr>
          <w:rFonts w:ascii="Times New Roman" w:hAnsi="Times New Roman"/>
          <w:sz w:val="24"/>
          <w:szCs w:val="24"/>
        </w:rPr>
        <w:t xml:space="preserve">previste </w:t>
      </w:r>
      <w:r w:rsidRPr="000C39E4">
        <w:rPr>
          <w:rFonts w:ascii="Times New Roman" w:hAnsi="Times New Roman"/>
          <w:sz w:val="24"/>
          <w:szCs w:val="24"/>
        </w:rPr>
        <w:t>comunicazioni annuali</w:t>
      </w:r>
      <w:r>
        <w:rPr>
          <w:rFonts w:ascii="Times New Roman" w:hAnsi="Times New Roman"/>
          <w:sz w:val="24"/>
          <w:szCs w:val="24"/>
        </w:rPr>
        <w:t xml:space="preserve"> da parte degli enti territoriali.</w:t>
      </w:r>
    </w:p>
    <w:p w14:paraId="246C3D41" w14:textId="77777777" w:rsidR="00432090" w:rsidRPr="00206B4E" w:rsidRDefault="00432090" w:rsidP="00432090">
      <w:pPr>
        <w:spacing w:after="60" w:line="276" w:lineRule="auto"/>
        <w:jc w:val="both"/>
        <w:rPr>
          <w:rFonts w:ascii="Times New Roman" w:hAnsi="Times New Roman"/>
          <w:sz w:val="24"/>
          <w:szCs w:val="24"/>
        </w:rPr>
      </w:pPr>
      <w:r w:rsidRPr="003F756F">
        <w:rPr>
          <w:rFonts w:ascii="Times New Roman" w:hAnsi="Times New Roman"/>
          <w:b/>
          <w:bCs/>
          <w:sz w:val="24"/>
          <w:szCs w:val="24"/>
        </w:rPr>
        <w:t>La lettera b)</w:t>
      </w:r>
      <w:r w:rsidRPr="00206B4E">
        <w:rPr>
          <w:rFonts w:ascii="Times New Roman" w:hAnsi="Times New Roman"/>
          <w:sz w:val="24"/>
          <w:szCs w:val="24"/>
        </w:rPr>
        <w:t xml:space="preserve"> </w:t>
      </w:r>
      <w:r w:rsidRPr="00471351">
        <w:rPr>
          <w:rFonts w:ascii="Times New Roman" w:hAnsi="Times New Roman"/>
          <w:b/>
          <w:bCs/>
          <w:sz w:val="24"/>
          <w:szCs w:val="24"/>
        </w:rPr>
        <w:t xml:space="preserve">del comma </w:t>
      </w:r>
      <w:r>
        <w:rPr>
          <w:rFonts w:ascii="Times New Roman" w:hAnsi="Times New Roman"/>
          <w:b/>
          <w:bCs/>
          <w:sz w:val="24"/>
          <w:szCs w:val="24"/>
        </w:rPr>
        <w:t>2</w:t>
      </w:r>
      <w:r>
        <w:rPr>
          <w:rFonts w:ascii="Times New Roman" w:hAnsi="Times New Roman"/>
          <w:sz w:val="24"/>
          <w:szCs w:val="24"/>
        </w:rPr>
        <w:t xml:space="preserve"> </w:t>
      </w:r>
      <w:r w:rsidRPr="00206B4E">
        <w:rPr>
          <w:rFonts w:ascii="Times New Roman" w:hAnsi="Times New Roman"/>
          <w:sz w:val="24"/>
          <w:szCs w:val="24"/>
        </w:rPr>
        <w:t>estende le conseguenze derivanti d</w:t>
      </w:r>
      <w:r>
        <w:rPr>
          <w:rFonts w:ascii="Times New Roman" w:hAnsi="Times New Roman"/>
          <w:sz w:val="24"/>
          <w:szCs w:val="24"/>
        </w:rPr>
        <w:t>a</w:t>
      </w:r>
      <w:r w:rsidRPr="00206B4E">
        <w:rPr>
          <w:rFonts w:ascii="Times New Roman" w:hAnsi="Times New Roman"/>
          <w:sz w:val="24"/>
          <w:szCs w:val="24"/>
        </w:rPr>
        <w:t xml:space="preserve">ll’omessa o ritardata trasmissione di cui </w:t>
      </w:r>
      <w:r>
        <w:rPr>
          <w:rFonts w:ascii="Times New Roman" w:hAnsi="Times New Roman"/>
          <w:sz w:val="24"/>
          <w:szCs w:val="24"/>
        </w:rPr>
        <w:t>all’</w:t>
      </w:r>
      <w:r w:rsidRPr="00206B4E">
        <w:rPr>
          <w:rFonts w:ascii="Times New Roman" w:hAnsi="Times New Roman"/>
          <w:sz w:val="24"/>
          <w:szCs w:val="24"/>
        </w:rPr>
        <w:t>art. 9</w:t>
      </w:r>
      <w:r>
        <w:rPr>
          <w:rFonts w:ascii="Times New Roman" w:hAnsi="Times New Roman"/>
          <w:sz w:val="24"/>
          <w:szCs w:val="24"/>
        </w:rPr>
        <w:t>, comma 1,</w:t>
      </w:r>
      <w:r w:rsidRPr="00206B4E">
        <w:rPr>
          <w:rFonts w:ascii="Times New Roman" w:hAnsi="Times New Roman"/>
          <w:sz w:val="24"/>
          <w:szCs w:val="24"/>
        </w:rPr>
        <w:t xml:space="preserve"> della legge</w:t>
      </w:r>
      <w:r>
        <w:rPr>
          <w:rFonts w:ascii="Times New Roman" w:hAnsi="Times New Roman"/>
          <w:sz w:val="24"/>
          <w:szCs w:val="24"/>
        </w:rPr>
        <w:t xml:space="preserve"> n. </w:t>
      </w:r>
      <w:r w:rsidRPr="00206B4E">
        <w:rPr>
          <w:rFonts w:ascii="Times New Roman" w:hAnsi="Times New Roman"/>
          <w:sz w:val="24"/>
          <w:szCs w:val="24"/>
        </w:rPr>
        <w:t>118</w:t>
      </w:r>
      <w:r>
        <w:rPr>
          <w:rFonts w:ascii="Times New Roman" w:hAnsi="Times New Roman"/>
          <w:sz w:val="24"/>
          <w:szCs w:val="24"/>
        </w:rPr>
        <w:t>/</w:t>
      </w:r>
      <w:r w:rsidRPr="00206B4E">
        <w:rPr>
          <w:rFonts w:ascii="Times New Roman" w:hAnsi="Times New Roman"/>
          <w:sz w:val="24"/>
          <w:szCs w:val="24"/>
        </w:rPr>
        <w:t xml:space="preserve">2022 </w:t>
      </w:r>
      <w:r>
        <w:rPr>
          <w:rFonts w:ascii="Times New Roman" w:hAnsi="Times New Roman"/>
          <w:sz w:val="24"/>
          <w:szCs w:val="24"/>
        </w:rPr>
        <w:t xml:space="preserve">(ossia il rilievo </w:t>
      </w:r>
      <w:r w:rsidRPr="003F756F">
        <w:rPr>
          <w:rFonts w:ascii="Times New Roman" w:hAnsi="Times New Roman"/>
          <w:sz w:val="24"/>
          <w:szCs w:val="24"/>
        </w:rPr>
        <w:t xml:space="preserve">ai fini della misurazione e della </w:t>
      </w:r>
      <w:r w:rsidRPr="003F756F">
        <w:rPr>
          <w:rFonts w:ascii="Times New Roman" w:hAnsi="Times New Roman"/>
          <w:sz w:val="24"/>
          <w:szCs w:val="24"/>
        </w:rPr>
        <w:lastRenderedPageBreak/>
        <w:t xml:space="preserve">valutazione della performance individuale dei dirigenti responsabili e </w:t>
      </w:r>
      <w:r>
        <w:rPr>
          <w:rFonts w:ascii="Times New Roman" w:hAnsi="Times New Roman"/>
          <w:sz w:val="24"/>
          <w:szCs w:val="24"/>
        </w:rPr>
        <w:t>la</w:t>
      </w:r>
      <w:r w:rsidRPr="003F756F">
        <w:rPr>
          <w:rFonts w:ascii="Times New Roman" w:hAnsi="Times New Roman"/>
          <w:sz w:val="24"/>
          <w:szCs w:val="24"/>
        </w:rPr>
        <w:t xml:space="preserve"> responsabilità dirigenziale e disciplinare</w:t>
      </w:r>
      <w:r>
        <w:rPr>
          <w:rFonts w:ascii="Times New Roman" w:hAnsi="Times New Roman"/>
          <w:sz w:val="24"/>
          <w:szCs w:val="24"/>
        </w:rPr>
        <w:t xml:space="preserve">) </w:t>
      </w:r>
      <w:r w:rsidRPr="00206B4E">
        <w:rPr>
          <w:rFonts w:ascii="Times New Roman" w:hAnsi="Times New Roman"/>
          <w:sz w:val="24"/>
          <w:szCs w:val="24"/>
        </w:rPr>
        <w:t xml:space="preserve">anche </w:t>
      </w:r>
      <w:r>
        <w:rPr>
          <w:rFonts w:ascii="Times New Roman" w:hAnsi="Times New Roman"/>
          <w:sz w:val="24"/>
          <w:szCs w:val="24"/>
        </w:rPr>
        <w:t>alle</w:t>
      </w:r>
      <w:r w:rsidRPr="00206B4E">
        <w:rPr>
          <w:rFonts w:ascii="Times New Roman" w:hAnsi="Times New Roman"/>
          <w:sz w:val="24"/>
          <w:szCs w:val="24"/>
        </w:rPr>
        <w:t xml:space="preserve"> ipotesi di omessa, ritardata o incompleta trasmissione de</w:t>
      </w:r>
      <w:r>
        <w:rPr>
          <w:rFonts w:ascii="Times New Roman" w:hAnsi="Times New Roman"/>
          <w:sz w:val="24"/>
          <w:szCs w:val="24"/>
        </w:rPr>
        <w:t xml:space="preserve">i calendari </w:t>
      </w:r>
      <w:r w:rsidRPr="00206B4E">
        <w:rPr>
          <w:rFonts w:ascii="Times New Roman" w:hAnsi="Times New Roman"/>
          <w:sz w:val="24"/>
          <w:szCs w:val="24"/>
        </w:rPr>
        <w:t>di cui all’introdotto comma 1-bis.</w:t>
      </w:r>
    </w:p>
    <w:p w14:paraId="6776B510" w14:textId="77777777" w:rsidR="00432090" w:rsidRPr="00206B4E" w:rsidRDefault="00432090" w:rsidP="00432090">
      <w:pPr>
        <w:spacing w:after="60" w:line="276" w:lineRule="auto"/>
        <w:jc w:val="both"/>
        <w:rPr>
          <w:rFonts w:ascii="Times New Roman" w:hAnsi="Times New Roman"/>
          <w:sz w:val="24"/>
          <w:szCs w:val="24"/>
        </w:rPr>
      </w:pPr>
      <w:r w:rsidRPr="00471351">
        <w:rPr>
          <w:rFonts w:ascii="Times New Roman" w:hAnsi="Times New Roman"/>
          <w:sz w:val="24"/>
          <w:szCs w:val="24"/>
        </w:rPr>
        <w:t>Il</w:t>
      </w:r>
      <w:r w:rsidRPr="00BE36C2">
        <w:rPr>
          <w:rFonts w:ascii="Times New Roman" w:hAnsi="Times New Roman"/>
          <w:b/>
          <w:bCs/>
          <w:sz w:val="24"/>
          <w:szCs w:val="24"/>
        </w:rPr>
        <w:t xml:space="preserve"> </w:t>
      </w:r>
      <w:r w:rsidRPr="00F17C1F">
        <w:rPr>
          <w:rFonts w:ascii="Times New Roman" w:hAnsi="Times New Roman"/>
          <w:b/>
          <w:bCs/>
          <w:sz w:val="24"/>
          <w:szCs w:val="24"/>
        </w:rPr>
        <w:t xml:space="preserve">comma </w:t>
      </w:r>
      <w:r>
        <w:rPr>
          <w:rFonts w:ascii="Times New Roman" w:hAnsi="Times New Roman"/>
          <w:b/>
          <w:bCs/>
          <w:sz w:val="24"/>
          <w:szCs w:val="24"/>
        </w:rPr>
        <w:t>3</w:t>
      </w:r>
      <w:r w:rsidRPr="00206B4E">
        <w:rPr>
          <w:rFonts w:ascii="Times New Roman" w:hAnsi="Times New Roman"/>
          <w:sz w:val="24"/>
          <w:szCs w:val="24"/>
        </w:rPr>
        <w:t xml:space="preserve"> prevede l’adozione, entro il 31 dicembre 2026, da parte dell’ART di specifiche linee guida volte a conseguire un miglioramento della qualità dell’affidamento dei servizi di trasporto pubblico regionale. Tali linee guida sono adottate ai sensi delle lettere a) e f) dell’articolo 37, comma 2, del decreto</w:t>
      </w:r>
      <w:r>
        <w:rPr>
          <w:rFonts w:ascii="Times New Roman" w:hAnsi="Times New Roman"/>
          <w:sz w:val="24"/>
          <w:szCs w:val="24"/>
        </w:rPr>
        <w:t xml:space="preserve"> </w:t>
      </w:r>
      <w:r w:rsidRPr="00206B4E">
        <w:rPr>
          <w:rFonts w:ascii="Times New Roman" w:hAnsi="Times New Roman"/>
          <w:sz w:val="24"/>
          <w:szCs w:val="24"/>
        </w:rPr>
        <w:t>legge 6 dicembre 2011, n. 201, convertito con modificazioni dalla legge 22 dicembre 2011, n. 214, che individuano i compiti dell’Autorità, rispettivamente, in tema di definizione di metodologie che incentivino la concorrenza e in tema di trasporto pubblico regionale.</w:t>
      </w:r>
      <w:r>
        <w:rPr>
          <w:rFonts w:ascii="Times New Roman" w:hAnsi="Times New Roman"/>
          <w:sz w:val="24"/>
          <w:szCs w:val="24"/>
        </w:rPr>
        <w:t xml:space="preserve"> Al fine di consentire una piena condivisione delle stesse, </w:t>
      </w:r>
      <w:r w:rsidRPr="00BF5933">
        <w:rPr>
          <w:rFonts w:ascii="Times New Roman" w:hAnsi="Times New Roman"/>
          <w:sz w:val="24"/>
          <w:szCs w:val="24"/>
        </w:rPr>
        <w:t>al</w:t>
      </w:r>
      <w:r w:rsidRPr="00984AD8">
        <w:rPr>
          <w:rFonts w:ascii="Times New Roman" w:hAnsi="Times New Roman"/>
          <w:sz w:val="24"/>
          <w:szCs w:val="24"/>
        </w:rPr>
        <w:t>l’Autorità di regolazione dei trasporti è richiesto di avviare entro il 30 giugno 2026 una consultazione pubblica.</w:t>
      </w:r>
    </w:p>
    <w:p w14:paraId="500D0778" w14:textId="77777777" w:rsidR="00432090" w:rsidRPr="00206B4E" w:rsidRDefault="00432090" w:rsidP="00432090">
      <w:pPr>
        <w:spacing w:after="60" w:line="276" w:lineRule="auto"/>
        <w:jc w:val="both"/>
        <w:rPr>
          <w:rFonts w:ascii="Times New Roman" w:hAnsi="Times New Roman"/>
          <w:sz w:val="24"/>
          <w:szCs w:val="24"/>
        </w:rPr>
      </w:pPr>
      <w:r w:rsidRPr="00206B4E">
        <w:rPr>
          <w:rFonts w:ascii="Times New Roman" w:hAnsi="Times New Roman"/>
          <w:sz w:val="24"/>
          <w:szCs w:val="24"/>
        </w:rPr>
        <w:t>Si precisa che le suddette linee guida dovranno essere redatte nel rispetto di quanto previsto dal Regolamento (UE) n. 1370/2007, relativo ai servizi pubblici di trasporto di passeggeri nell’Unione.</w:t>
      </w:r>
    </w:p>
    <w:p w14:paraId="1EE46C93" w14:textId="77777777" w:rsidR="00432090" w:rsidRDefault="00432090" w:rsidP="00432090">
      <w:pPr>
        <w:spacing w:after="60" w:line="276" w:lineRule="auto"/>
        <w:jc w:val="both"/>
        <w:rPr>
          <w:rFonts w:ascii="Times New Roman" w:hAnsi="Times New Roman"/>
          <w:sz w:val="24"/>
          <w:szCs w:val="24"/>
        </w:rPr>
      </w:pPr>
      <w:r>
        <w:rPr>
          <w:rFonts w:ascii="Times New Roman" w:hAnsi="Times New Roman"/>
          <w:sz w:val="24"/>
          <w:szCs w:val="24"/>
        </w:rPr>
        <w:t xml:space="preserve">Il </w:t>
      </w:r>
      <w:r w:rsidRPr="00C421CE">
        <w:rPr>
          <w:rFonts w:ascii="Times New Roman" w:hAnsi="Times New Roman"/>
          <w:b/>
          <w:bCs/>
          <w:sz w:val="24"/>
          <w:szCs w:val="24"/>
        </w:rPr>
        <w:t>comma 4</w:t>
      </w:r>
      <w:r>
        <w:rPr>
          <w:rFonts w:ascii="Times New Roman" w:hAnsi="Times New Roman"/>
          <w:sz w:val="24"/>
          <w:szCs w:val="24"/>
        </w:rPr>
        <w:t xml:space="preserve"> reca la clausola di invarianza finanziaria.</w:t>
      </w:r>
    </w:p>
    <w:p w14:paraId="561AC0A3" w14:textId="4E71E8EE" w:rsidR="00420236" w:rsidRPr="00A547AB" w:rsidRDefault="00420236" w:rsidP="00432090">
      <w:pPr>
        <w:spacing w:after="60" w:line="276" w:lineRule="auto"/>
        <w:jc w:val="both"/>
        <w:rPr>
          <w:rFonts w:ascii="Times New Roman" w:hAnsi="Times New Roman"/>
          <w:sz w:val="24"/>
          <w:szCs w:val="24"/>
        </w:rPr>
      </w:pPr>
      <w:r w:rsidRPr="00420236">
        <w:rPr>
          <w:rFonts w:ascii="Times New Roman" w:hAnsi="Times New Roman"/>
          <w:b/>
          <w:bCs/>
          <w:sz w:val="24"/>
          <w:szCs w:val="24"/>
        </w:rPr>
        <w:t>L’articolo 5</w:t>
      </w:r>
      <w:r w:rsidRPr="00420236">
        <w:t xml:space="preserve"> </w:t>
      </w:r>
      <w:r w:rsidRPr="00420236">
        <w:rPr>
          <w:rFonts w:ascii="Times New Roman" w:hAnsi="Times New Roman"/>
          <w:sz w:val="24"/>
          <w:szCs w:val="24"/>
        </w:rPr>
        <w:t>interviene in materia di semplificazione degli oneri amministrativi per i gestori aeroporti minori. Ai sensi dell’articolo 76, comma 6, del decreto</w:t>
      </w:r>
      <w:r w:rsidR="00B85425">
        <w:rPr>
          <w:rFonts w:ascii="Times New Roman" w:hAnsi="Times New Roman"/>
          <w:sz w:val="24"/>
          <w:szCs w:val="24"/>
        </w:rPr>
        <w:t>-</w:t>
      </w:r>
      <w:r w:rsidRPr="00420236">
        <w:rPr>
          <w:rFonts w:ascii="Times New Roman" w:hAnsi="Times New Roman"/>
          <w:sz w:val="24"/>
          <w:szCs w:val="24"/>
        </w:rPr>
        <w:t>legge 24 gennaio 2012, n. 1, per gli aeroporti aventi una soglia di traffico pari o inferiore al milione di movimento passeggeri annuo, l’ART deve individuare modelli semplificati di aggiornamento, anche annuale, dei diritti ancorati al criterio dell'effettivo valore dei beni fruiti dall'utenza. Al riguardo, giova osservare che la citata soglia di un milione (peraltro non prevista a livello europeo dalla direttiva 2009/12/CE, che ai sensi dell’articolo 1 comma 2 si applica esclusivamente agli aeroporti il cui volume di traffico annuale supera la soglia di 5 milioni di movimenti passeggeri) ha dimostrato di non poter rappresentare un riferimento attendibile per l’individuazione di quegli scali che possono beneficiare di tali modelli semplificati. Al fine, quindi, di semplificare gli oneri amministrativi per gestori di aeroporti minori, la disposizione modifica l’articolo 76, comma 6, del decreto</w:t>
      </w:r>
      <w:r w:rsidR="00B85425">
        <w:rPr>
          <w:rFonts w:ascii="Times New Roman" w:hAnsi="Times New Roman"/>
          <w:sz w:val="24"/>
          <w:szCs w:val="24"/>
        </w:rPr>
        <w:t>-</w:t>
      </w:r>
      <w:r w:rsidRPr="00420236">
        <w:rPr>
          <w:rFonts w:ascii="Times New Roman" w:hAnsi="Times New Roman"/>
          <w:sz w:val="24"/>
          <w:szCs w:val="24"/>
        </w:rPr>
        <w:t xml:space="preserve">legge </w:t>
      </w:r>
      <w:r w:rsidR="00B85425">
        <w:rPr>
          <w:rFonts w:ascii="Times New Roman" w:hAnsi="Times New Roman"/>
          <w:sz w:val="24"/>
          <w:szCs w:val="24"/>
        </w:rPr>
        <w:t xml:space="preserve">n. </w:t>
      </w:r>
      <w:r w:rsidRPr="00420236">
        <w:rPr>
          <w:rFonts w:ascii="Times New Roman" w:hAnsi="Times New Roman"/>
          <w:sz w:val="24"/>
          <w:szCs w:val="24"/>
        </w:rPr>
        <w:t>1</w:t>
      </w:r>
      <w:r w:rsidR="00B85425">
        <w:rPr>
          <w:rFonts w:ascii="Times New Roman" w:hAnsi="Times New Roman"/>
          <w:sz w:val="24"/>
          <w:szCs w:val="24"/>
        </w:rPr>
        <w:t xml:space="preserve"> del </w:t>
      </w:r>
      <w:r w:rsidRPr="00420236">
        <w:rPr>
          <w:rFonts w:ascii="Times New Roman" w:hAnsi="Times New Roman"/>
          <w:sz w:val="24"/>
          <w:szCs w:val="24"/>
        </w:rPr>
        <w:t>2012, innalzando la soglia citata a cinque milioni di movimenti passeggeri annuo.</w:t>
      </w:r>
    </w:p>
    <w:p w14:paraId="3C25FF0C" w14:textId="77777777" w:rsidR="00432090" w:rsidRDefault="00432090" w:rsidP="00432090">
      <w:pPr>
        <w:spacing w:line="240" w:lineRule="auto"/>
        <w:rPr>
          <w:rFonts w:ascii="Times New Roman" w:hAnsi="Times New Roman"/>
          <w:b/>
          <w:bCs/>
          <w:sz w:val="24"/>
          <w:szCs w:val="24"/>
        </w:rPr>
      </w:pPr>
    </w:p>
    <w:p w14:paraId="36A07E98" w14:textId="34EF4872" w:rsidR="00F60D88" w:rsidRPr="00206B4E" w:rsidRDefault="00BF30E7" w:rsidP="00822AAB">
      <w:pPr>
        <w:spacing w:after="60" w:line="276" w:lineRule="auto"/>
        <w:jc w:val="both"/>
        <w:rPr>
          <w:rFonts w:ascii="Times New Roman" w:hAnsi="Times New Roman"/>
          <w:b/>
          <w:bCs/>
          <w:sz w:val="24"/>
          <w:szCs w:val="24"/>
        </w:rPr>
      </w:pPr>
      <w:r w:rsidRPr="00206B4E">
        <w:rPr>
          <w:rFonts w:ascii="Times New Roman" w:hAnsi="Times New Roman"/>
          <w:b/>
          <w:bCs/>
          <w:sz w:val="24"/>
          <w:szCs w:val="24"/>
        </w:rPr>
        <w:t xml:space="preserve">CAPO </w:t>
      </w:r>
      <w:bookmarkStart w:id="1" w:name="_Hlk191393355"/>
      <w:r w:rsidRPr="00206B4E">
        <w:rPr>
          <w:rFonts w:ascii="Times New Roman" w:hAnsi="Times New Roman"/>
          <w:b/>
          <w:bCs/>
          <w:sz w:val="24"/>
          <w:szCs w:val="24"/>
        </w:rPr>
        <w:t xml:space="preserve">III- </w:t>
      </w:r>
      <w:r w:rsidR="007B61A7" w:rsidRPr="00206B4E">
        <w:rPr>
          <w:rFonts w:ascii="Times New Roman" w:hAnsi="Times New Roman"/>
          <w:b/>
          <w:bCs/>
          <w:sz w:val="24"/>
          <w:szCs w:val="24"/>
        </w:rPr>
        <w:t>Ulteriori disposizioni</w:t>
      </w:r>
      <w:r w:rsidRPr="00206B4E">
        <w:rPr>
          <w:rFonts w:ascii="Times New Roman" w:hAnsi="Times New Roman"/>
          <w:b/>
          <w:bCs/>
          <w:sz w:val="24"/>
          <w:szCs w:val="24"/>
        </w:rPr>
        <w:t xml:space="preserve"> </w:t>
      </w:r>
    </w:p>
    <w:p w14:paraId="429973BF" w14:textId="4E8097D8" w:rsidR="00316BC1" w:rsidRPr="00F55565" w:rsidRDefault="001313F4" w:rsidP="00746C3F">
      <w:pPr>
        <w:autoSpaceDE w:val="0"/>
        <w:spacing w:after="60" w:line="276" w:lineRule="auto"/>
        <w:jc w:val="both"/>
        <w:rPr>
          <w:rFonts w:ascii="Times New Roman" w:hAnsi="Times New Roman"/>
          <w:color w:val="FF0000"/>
          <w:sz w:val="24"/>
          <w:szCs w:val="24"/>
        </w:rPr>
      </w:pPr>
      <w:r w:rsidRPr="001313F4">
        <w:rPr>
          <w:rFonts w:ascii="Times New Roman" w:hAnsi="Times New Roman"/>
          <w:sz w:val="24"/>
          <w:szCs w:val="24"/>
        </w:rPr>
        <w:t xml:space="preserve">Il CAPO III contiene disposizioni che intervengono in ambiti diversi ma, comunque, oggetto di segnalazioni da parte dell’AGCM e dei contenuti previsti dalla CID. </w:t>
      </w:r>
    </w:p>
    <w:p w14:paraId="1A33A172" w14:textId="18973663" w:rsidR="00F55565" w:rsidRPr="00CE6384" w:rsidRDefault="00F55565" w:rsidP="00F55565">
      <w:pPr>
        <w:autoSpaceDE w:val="0"/>
        <w:spacing w:after="60" w:line="276" w:lineRule="auto"/>
        <w:jc w:val="both"/>
        <w:rPr>
          <w:rFonts w:ascii="Times New Roman" w:hAnsi="Times New Roman"/>
          <w:sz w:val="24"/>
          <w:szCs w:val="24"/>
        </w:rPr>
      </w:pPr>
      <w:r w:rsidRPr="00CE6384">
        <w:rPr>
          <w:rFonts w:ascii="Times New Roman" w:hAnsi="Times New Roman"/>
          <w:sz w:val="24"/>
          <w:szCs w:val="24"/>
        </w:rPr>
        <w:t xml:space="preserve">La disposizione prevista </w:t>
      </w:r>
      <w:r w:rsidRPr="00CE6384">
        <w:rPr>
          <w:rFonts w:ascii="Times New Roman" w:hAnsi="Times New Roman"/>
          <w:b/>
          <w:bCs/>
          <w:sz w:val="24"/>
          <w:szCs w:val="24"/>
        </w:rPr>
        <w:t xml:space="preserve">dall’articolo </w:t>
      </w:r>
      <w:r w:rsidR="00BB460C">
        <w:rPr>
          <w:rFonts w:ascii="Times New Roman" w:hAnsi="Times New Roman"/>
          <w:b/>
          <w:bCs/>
          <w:sz w:val="24"/>
          <w:szCs w:val="24"/>
        </w:rPr>
        <w:t>6</w:t>
      </w:r>
      <w:r w:rsidR="00BB460C" w:rsidRPr="00CE6384">
        <w:rPr>
          <w:rFonts w:ascii="Times New Roman" w:hAnsi="Times New Roman"/>
          <w:sz w:val="24"/>
          <w:szCs w:val="24"/>
        </w:rPr>
        <w:t xml:space="preserve"> </w:t>
      </w:r>
      <w:r w:rsidRPr="00CE6384">
        <w:rPr>
          <w:rFonts w:ascii="Times New Roman" w:hAnsi="Times New Roman"/>
          <w:sz w:val="24"/>
          <w:szCs w:val="24"/>
        </w:rPr>
        <w:t>è finalizzata a rafforzare le misure che consentono un corretto impiego dei prodotti cosmetici (comma primo) e dei prodotti biocidi (commi secondo e terzo), al fine di perseguire la tutela della concorrenza e della salute del consumatore. Allo scopo, vengono apportate modifiche al decreto legislativo 4 dicembre 2015, n. 204, recante “Disciplina sanzionatoria per la violazione del regolamento (CE) n. 1223/2009 sui prodotti cosmetici”.</w:t>
      </w:r>
    </w:p>
    <w:p w14:paraId="49C5528D" w14:textId="444BC72F" w:rsidR="00F55565" w:rsidRPr="00CE6384" w:rsidRDefault="00F55565" w:rsidP="00F55565">
      <w:pPr>
        <w:autoSpaceDE w:val="0"/>
        <w:spacing w:after="60" w:line="276" w:lineRule="auto"/>
        <w:jc w:val="both"/>
        <w:rPr>
          <w:rFonts w:ascii="Times New Roman" w:hAnsi="Times New Roman"/>
          <w:sz w:val="24"/>
          <w:szCs w:val="24"/>
        </w:rPr>
      </w:pPr>
      <w:r w:rsidRPr="00CE6384">
        <w:rPr>
          <w:rFonts w:ascii="Times New Roman" w:hAnsi="Times New Roman"/>
          <w:sz w:val="24"/>
          <w:szCs w:val="24"/>
        </w:rPr>
        <w:t xml:space="preserve">Per quanto attiene </w:t>
      </w:r>
      <w:r w:rsidRPr="00CE6384">
        <w:rPr>
          <w:rFonts w:ascii="Times New Roman" w:hAnsi="Times New Roman"/>
          <w:b/>
          <w:bCs/>
          <w:sz w:val="24"/>
          <w:szCs w:val="24"/>
        </w:rPr>
        <w:t>al primo comma</w:t>
      </w:r>
      <w:r w:rsidRPr="00CE6384">
        <w:rPr>
          <w:rFonts w:ascii="Times New Roman" w:hAnsi="Times New Roman"/>
          <w:sz w:val="24"/>
          <w:szCs w:val="24"/>
        </w:rPr>
        <w:t>, le lettere a) e b) sono volte a colmare una lacuna normativa, prevedendo sanzioni per l’utilizzatore professionale che impieghi un cosmetico in maniera difforme rispetto a quanto previsto nella relativa etichettatura. Tale sanzione ad oggi potrebbe essere irrogata solo in via interpretativa, ma l’effettiva applicabilità non è assicurabile a priori. In tal modo, si intende perseguire il corretto impiego dei cosmetici da parte dei professionisti, al fine di evitare pratiche discorsive del mercato e tutelare la salute del consumatore quale cliente del professionista.</w:t>
      </w:r>
    </w:p>
    <w:p w14:paraId="31FCD7A5" w14:textId="2FAF81BD" w:rsidR="00F55565" w:rsidRPr="00CE6384" w:rsidRDefault="00F55565" w:rsidP="00F55565">
      <w:pPr>
        <w:autoSpaceDE w:val="0"/>
        <w:spacing w:after="60" w:line="276" w:lineRule="auto"/>
        <w:jc w:val="both"/>
        <w:rPr>
          <w:rFonts w:ascii="Times New Roman" w:hAnsi="Times New Roman"/>
          <w:sz w:val="24"/>
          <w:szCs w:val="24"/>
        </w:rPr>
      </w:pPr>
      <w:r w:rsidRPr="00CE6384">
        <w:rPr>
          <w:rFonts w:ascii="Times New Roman" w:hAnsi="Times New Roman"/>
          <w:sz w:val="24"/>
          <w:szCs w:val="24"/>
        </w:rPr>
        <w:t>L’inserimento di tale comma persegu</w:t>
      </w:r>
      <w:r w:rsidR="00CE6384" w:rsidRPr="00CE6384">
        <w:rPr>
          <w:rFonts w:ascii="Times New Roman" w:hAnsi="Times New Roman"/>
          <w:sz w:val="24"/>
          <w:szCs w:val="24"/>
        </w:rPr>
        <w:t>e</w:t>
      </w:r>
      <w:r w:rsidRPr="00CE6384">
        <w:rPr>
          <w:rFonts w:ascii="Times New Roman" w:hAnsi="Times New Roman"/>
          <w:sz w:val="24"/>
          <w:szCs w:val="24"/>
        </w:rPr>
        <w:t xml:space="preserve"> una maggior aderenza del sistema sanzionatorio alle finalità del Regolamento (CE) 1223/2009, il cui articolo 3 parametra la sicurezza del cosmetico non solo alle </w:t>
      </w:r>
      <w:r w:rsidRPr="00CE6384">
        <w:rPr>
          <w:rFonts w:ascii="Times New Roman" w:hAnsi="Times New Roman"/>
          <w:sz w:val="24"/>
          <w:szCs w:val="24"/>
        </w:rPr>
        <w:lastRenderedPageBreak/>
        <w:t>modalità di immissione in commercio, bensì anche alle condizioni di utilizzo, tra cui rientra l’uso professionale.</w:t>
      </w:r>
    </w:p>
    <w:p w14:paraId="4BE9A869" w14:textId="77777777" w:rsidR="00F55565" w:rsidRPr="00CE6384" w:rsidRDefault="00F55565" w:rsidP="00F55565">
      <w:pPr>
        <w:autoSpaceDE w:val="0"/>
        <w:spacing w:after="60" w:line="276" w:lineRule="auto"/>
        <w:jc w:val="both"/>
        <w:rPr>
          <w:rFonts w:ascii="Times New Roman" w:hAnsi="Times New Roman"/>
          <w:sz w:val="24"/>
          <w:szCs w:val="24"/>
        </w:rPr>
      </w:pPr>
      <w:r w:rsidRPr="00CE6384">
        <w:rPr>
          <w:rFonts w:ascii="Times New Roman" w:hAnsi="Times New Roman"/>
          <w:sz w:val="24"/>
          <w:szCs w:val="24"/>
        </w:rPr>
        <w:t xml:space="preserve">Al fine di comprendere l’effettiva importanza della norma proposta, si segnala, a titolo esemplificativo, che l’estetista che dovesse utilizzare un gel per unghie senza le protezioni necessarie per preservare la salute del cliente, o, analogamente, il parrucchiere che impiegasse prodotti stiranti per i capelli senza proteggere il cliente dall’inalazione di potenziali fumi, ad oggi sarebbero difficilmente perseguibili in base al decreto legislativo 204/2015, se non in via interpretativa qualificandoli come distributori. Laddove l’inquadramento del professionista come distributore non fosse condiviso dall’organo giudicante, il professionista sarebbe perseguibile esclusivamente ricercando nella normativa generale possibili sanzioni, la cui applicabilità non sarebbe garantita. </w:t>
      </w:r>
    </w:p>
    <w:p w14:paraId="282F4733" w14:textId="1A416421" w:rsidR="00F55565" w:rsidRPr="00CE6384" w:rsidRDefault="00F55565" w:rsidP="00F55565">
      <w:pPr>
        <w:autoSpaceDE w:val="0"/>
        <w:spacing w:after="60" w:line="276" w:lineRule="auto"/>
        <w:jc w:val="both"/>
        <w:rPr>
          <w:rFonts w:ascii="Times New Roman" w:hAnsi="Times New Roman"/>
          <w:sz w:val="24"/>
          <w:szCs w:val="24"/>
        </w:rPr>
      </w:pPr>
      <w:r w:rsidRPr="00CE6384">
        <w:rPr>
          <w:rFonts w:ascii="Times New Roman" w:hAnsi="Times New Roman"/>
          <w:sz w:val="24"/>
          <w:szCs w:val="24"/>
        </w:rPr>
        <w:t>Per quanto attiene alla lettera c), la medesima è finalizzata ad un regime sanzionatorio maggiormente effettivo per le ipotesi di impiego nei cosmetici di sostanze vietate. In particolare, viene specifica</w:t>
      </w:r>
      <w:r w:rsidR="00CE6384" w:rsidRPr="00CE6384">
        <w:rPr>
          <w:rFonts w:ascii="Times New Roman" w:hAnsi="Times New Roman"/>
          <w:sz w:val="24"/>
          <w:szCs w:val="24"/>
        </w:rPr>
        <w:t>to</w:t>
      </w:r>
      <w:r w:rsidRPr="00CE6384">
        <w:rPr>
          <w:rFonts w:ascii="Times New Roman" w:hAnsi="Times New Roman"/>
          <w:sz w:val="24"/>
          <w:szCs w:val="24"/>
        </w:rPr>
        <w:t xml:space="preserve"> che è sanzionato non solo chi produce cosmetici impiegando sostanze vietate, bensì anche chi immette in commercio le medesime sostanze, in aderenza ai contenuti del Regolamento (CE) 1223/2009, che pone in capo alla </w:t>
      </w:r>
      <w:r w:rsidR="00CE6384" w:rsidRPr="00CE6384">
        <w:rPr>
          <w:rFonts w:ascii="Times New Roman" w:hAnsi="Times New Roman"/>
          <w:sz w:val="24"/>
          <w:szCs w:val="24"/>
        </w:rPr>
        <w:t>p</w:t>
      </w:r>
      <w:r w:rsidRPr="00CE6384">
        <w:rPr>
          <w:rFonts w:ascii="Times New Roman" w:hAnsi="Times New Roman"/>
          <w:sz w:val="24"/>
          <w:szCs w:val="24"/>
        </w:rPr>
        <w:t>ersona responsabile di cui all’articolo 4 la responsabilità della conformità del prodotto.</w:t>
      </w:r>
      <w:r w:rsidR="00CE6384" w:rsidRPr="00CE6384">
        <w:rPr>
          <w:rFonts w:ascii="Times New Roman" w:hAnsi="Times New Roman"/>
          <w:sz w:val="24"/>
          <w:szCs w:val="24"/>
        </w:rPr>
        <w:t xml:space="preserve"> La</w:t>
      </w:r>
      <w:r w:rsidRPr="00CE6384">
        <w:rPr>
          <w:rFonts w:ascii="Times New Roman" w:hAnsi="Times New Roman"/>
          <w:sz w:val="24"/>
          <w:szCs w:val="24"/>
        </w:rPr>
        <w:t xml:space="preserve"> norma consent</w:t>
      </w:r>
      <w:r w:rsidR="00CE6384" w:rsidRPr="00CE6384">
        <w:rPr>
          <w:rFonts w:ascii="Times New Roman" w:hAnsi="Times New Roman"/>
          <w:sz w:val="24"/>
          <w:szCs w:val="24"/>
        </w:rPr>
        <w:t>e</w:t>
      </w:r>
      <w:r w:rsidRPr="00CE6384">
        <w:rPr>
          <w:rFonts w:ascii="Times New Roman" w:hAnsi="Times New Roman"/>
          <w:sz w:val="24"/>
          <w:szCs w:val="24"/>
        </w:rPr>
        <w:t xml:space="preserve"> di chiarire che la sanzione per l’impiego di idrochinone (sostanza il cui impiego nei cosmetici è vietato in Europa, ma di largo uso nel continente africano) nelle creme schiarenti della pelle non riguarda solo la produzione di tali creme, ma anche la relativa immissione in commercio in Italia.</w:t>
      </w:r>
    </w:p>
    <w:p w14:paraId="38CB4446" w14:textId="77777777" w:rsidR="00F55565" w:rsidRPr="00CE6384" w:rsidRDefault="00F55565" w:rsidP="00F55565">
      <w:pPr>
        <w:autoSpaceDE w:val="0"/>
        <w:spacing w:after="60" w:line="276" w:lineRule="auto"/>
        <w:jc w:val="both"/>
        <w:rPr>
          <w:rFonts w:ascii="Times New Roman" w:hAnsi="Times New Roman"/>
          <w:sz w:val="24"/>
          <w:szCs w:val="24"/>
        </w:rPr>
      </w:pPr>
      <w:r w:rsidRPr="00CE6384">
        <w:rPr>
          <w:rFonts w:ascii="Times New Roman" w:hAnsi="Times New Roman"/>
          <w:sz w:val="24"/>
          <w:szCs w:val="24"/>
        </w:rPr>
        <w:t>La lettera d) prevede sanzioni specifiche per l’inserimento nell’etichettatura dei cosmetici di indicazioni biocide ovvero di indicazioni terapeutiche, in quanto tali attività, non pertinenti con la classificazione di cosmetico, sono soggette a regimi autorizzativi ai sensi del Regolamento (UE) 528/2012 in materia di biocidi e del decreto legislativo 219/2006 in materia di medicinali. Per l’entità della sanzione si è fatto riferimento alle sanzioni previste per l’immissione in commercio di biocidi e medicinali non autorizzati.</w:t>
      </w:r>
    </w:p>
    <w:p w14:paraId="6906F59D" w14:textId="77777777" w:rsidR="00F55565" w:rsidRPr="00CE6384" w:rsidRDefault="00F55565" w:rsidP="00F55565">
      <w:pPr>
        <w:autoSpaceDE w:val="0"/>
        <w:spacing w:after="60" w:line="276" w:lineRule="auto"/>
        <w:jc w:val="both"/>
        <w:rPr>
          <w:rFonts w:ascii="Times New Roman" w:hAnsi="Times New Roman"/>
          <w:sz w:val="24"/>
          <w:szCs w:val="24"/>
        </w:rPr>
      </w:pPr>
      <w:r w:rsidRPr="00CE6384">
        <w:rPr>
          <w:rFonts w:ascii="Times New Roman" w:hAnsi="Times New Roman"/>
          <w:sz w:val="24"/>
          <w:szCs w:val="24"/>
        </w:rPr>
        <w:t xml:space="preserve">Tale norma si rende necessaria per sanzionare adeguatamente l’inserimento nelle etichette dei cosmetici di indicazioni biocide (ad esempio di disinfezione delle mani, o di </w:t>
      </w:r>
      <w:proofErr w:type="spellStart"/>
      <w:r w:rsidRPr="00CE6384">
        <w:rPr>
          <w:rFonts w:ascii="Times New Roman" w:hAnsi="Times New Roman"/>
          <w:sz w:val="24"/>
          <w:szCs w:val="24"/>
        </w:rPr>
        <w:t>insettorepellenza</w:t>
      </w:r>
      <w:proofErr w:type="spellEnd"/>
      <w:r w:rsidRPr="00CE6384">
        <w:rPr>
          <w:rFonts w:ascii="Times New Roman" w:hAnsi="Times New Roman"/>
          <w:sz w:val="24"/>
          <w:szCs w:val="24"/>
        </w:rPr>
        <w:t>) o, fattispecie evidentemente ancor più grave, terapeutiche (ad esempio di cura delle ferite o di malattie della pelle), laddove tale inserimento non consenta di classificare i prodotti come biocidi o farmaci non conformi e di sanzionarli con i rispettivi apparati sanzionatori.</w:t>
      </w:r>
    </w:p>
    <w:p w14:paraId="4B096D1D" w14:textId="77777777" w:rsidR="00F55565" w:rsidRPr="00CE6384" w:rsidRDefault="00F55565" w:rsidP="00F55565">
      <w:pPr>
        <w:autoSpaceDE w:val="0"/>
        <w:spacing w:after="60" w:line="276" w:lineRule="auto"/>
        <w:jc w:val="both"/>
        <w:rPr>
          <w:rFonts w:ascii="Times New Roman" w:hAnsi="Times New Roman"/>
          <w:sz w:val="24"/>
          <w:szCs w:val="24"/>
        </w:rPr>
      </w:pPr>
      <w:r w:rsidRPr="00CE6384">
        <w:rPr>
          <w:rFonts w:ascii="Times New Roman" w:hAnsi="Times New Roman"/>
          <w:sz w:val="24"/>
          <w:szCs w:val="24"/>
        </w:rPr>
        <w:t>In assenza di tale norma, ad oggi l’immissione in commercio di un cosmetico recante indicazioni biocide o terapeutiche, ma non classificabile come biocida o farmaco, sarebbe sanzionabile esclusivamente per etichetta non conforme, con la pena molto blanda di cui all’articolo 13, comma 2 del decreto legislativo 204/2015 (sanzione amministrativa da 500 a 5.000 euro).</w:t>
      </w:r>
    </w:p>
    <w:p w14:paraId="43ABCCA6" w14:textId="77777777" w:rsidR="00F55565" w:rsidRPr="00CE6384" w:rsidRDefault="00F55565" w:rsidP="00F55565">
      <w:pPr>
        <w:autoSpaceDE w:val="0"/>
        <w:spacing w:after="60" w:line="276" w:lineRule="auto"/>
        <w:jc w:val="both"/>
        <w:rPr>
          <w:rFonts w:ascii="Times New Roman" w:hAnsi="Times New Roman"/>
          <w:sz w:val="24"/>
          <w:szCs w:val="24"/>
        </w:rPr>
      </w:pPr>
      <w:r w:rsidRPr="00CE6384">
        <w:rPr>
          <w:rFonts w:ascii="Times New Roman" w:hAnsi="Times New Roman"/>
          <w:sz w:val="24"/>
          <w:szCs w:val="24"/>
        </w:rPr>
        <w:t>La norma proposta, pertanto, consente un maggior rispetto contestuale delle seguenti fonti europee: Regolamento (CE) 1223/2009 in materia di cosmetici, Regolamento (UE) 528/2012 in materia di biocidi e, laddove il prodotto non conforme rechi indicazioni terapeutiche, ma non sia classificabile come farmaco e sanzionabile come tale, Direttiva 2001/83/CE in materia di medicinali ad uso umano.</w:t>
      </w:r>
    </w:p>
    <w:p w14:paraId="30D6D159" w14:textId="0A1391D4" w:rsidR="00F55565" w:rsidRPr="00CE6384" w:rsidRDefault="00F55565" w:rsidP="00F55565">
      <w:pPr>
        <w:autoSpaceDE w:val="0"/>
        <w:spacing w:after="60" w:line="276" w:lineRule="auto"/>
        <w:jc w:val="both"/>
        <w:rPr>
          <w:rFonts w:ascii="Times New Roman" w:hAnsi="Times New Roman"/>
          <w:sz w:val="24"/>
          <w:szCs w:val="24"/>
        </w:rPr>
      </w:pPr>
      <w:r w:rsidRPr="00CE6384">
        <w:rPr>
          <w:rFonts w:ascii="Times New Roman" w:hAnsi="Times New Roman"/>
          <w:sz w:val="24"/>
          <w:szCs w:val="24"/>
        </w:rPr>
        <w:t xml:space="preserve">Per quanto riguarda il </w:t>
      </w:r>
      <w:r w:rsidRPr="00CE6384">
        <w:rPr>
          <w:rFonts w:ascii="Times New Roman" w:hAnsi="Times New Roman"/>
          <w:b/>
          <w:bCs/>
          <w:sz w:val="24"/>
          <w:szCs w:val="24"/>
        </w:rPr>
        <w:t>secondo comma</w:t>
      </w:r>
      <w:r w:rsidRPr="00CE6384">
        <w:rPr>
          <w:rFonts w:ascii="Times New Roman" w:hAnsi="Times New Roman"/>
          <w:sz w:val="24"/>
          <w:szCs w:val="24"/>
        </w:rPr>
        <w:t xml:space="preserve">, lo stesso propone modifiche al decreto legislativo </w:t>
      </w:r>
      <w:r w:rsidR="00B85425">
        <w:rPr>
          <w:rFonts w:ascii="Times New Roman" w:hAnsi="Times New Roman"/>
          <w:sz w:val="24"/>
          <w:szCs w:val="24"/>
        </w:rPr>
        <w:t xml:space="preserve">n. </w:t>
      </w:r>
      <w:r w:rsidRPr="00CE6384">
        <w:rPr>
          <w:rFonts w:ascii="Times New Roman" w:hAnsi="Times New Roman"/>
          <w:sz w:val="24"/>
          <w:szCs w:val="24"/>
        </w:rPr>
        <w:t>179</w:t>
      </w:r>
      <w:r w:rsidR="00B85425">
        <w:rPr>
          <w:rFonts w:ascii="Times New Roman" w:hAnsi="Times New Roman"/>
          <w:sz w:val="24"/>
          <w:szCs w:val="24"/>
        </w:rPr>
        <w:t xml:space="preserve"> del </w:t>
      </w:r>
      <w:r w:rsidRPr="00CE6384">
        <w:rPr>
          <w:rFonts w:ascii="Times New Roman" w:hAnsi="Times New Roman"/>
          <w:sz w:val="24"/>
          <w:szCs w:val="24"/>
        </w:rPr>
        <w:t>2021, recante sanzioni in ottemperanze al Regolamento (UE) 528/2012 che disciplina la messa a disposizione e l’impiego dei biocidi sul territorio europeo.</w:t>
      </w:r>
    </w:p>
    <w:p w14:paraId="3C2A2364" w14:textId="3C6E746B" w:rsidR="00F55565" w:rsidRPr="00CE6384" w:rsidRDefault="00F55565" w:rsidP="00F55565">
      <w:pPr>
        <w:autoSpaceDE w:val="0"/>
        <w:spacing w:after="60" w:line="276" w:lineRule="auto"/>
        <w:jc w:val="both"/>
        <w:rPr>
          <w:rFonts w:ascii="Times New Roman" w:hAnsi="Times New Roman"/>
          <w:sz w:val="24"/>
          <w:szCs w:val="24"/>
        </w:rPr>
      </w:pPr>
      <w:r w:rsidRPr="00CE6384">
        <w:rPr>
          <w:rFonts w:ascii="Times New Roman" w:hAnsi="Times New Roman"/>
          <w:sz w:val="24"/>
          <w:szCs w:val="24"/>
        </w:rPr>
        <w:t xml:space="preserve">Per quanto attiene alle lettere a) e c), le stesse sono finalizzate a colmare una potenziale lacuna nel sistema sanzionatorio: in particolare, attualmente non esiste una sanzione specifica per utilizzatori </w:t>
      </w:r>
      <w:r w:rsidRPr="00CE6384">
        <w:rPr>
          <w:rFonts w:ascii="Times New Roman" w:hAnsi="Times New Roman"/>
          <w:sz w:val="24"/>
          <w:szCs w:val="24"/>
        </w:rPr>
        <w:lastRenderedPageBreak/>
        <w:t xml:space="preserve">non professionali né industriali che impieghino biocidi e presidi medico chirurgici in maniera non conforme alle specifiche di autorizzazione, </w:t>
      </w:r>
      <w:r w:rsidR="001C5D7B">
        <w:rPr>
          <w:rFonts w:ascii="Times New Roman" w:hAnsi="Times New Roman"/>
          <w:sz w:val="24"/>
          <w:szCs w:val="24"/>
        </w:rPr>
        <w:t>quando ne derivi il pericolo di contaminazione di persone, di specie animali o dell’ambiente</w:t>
      </w:r>
      <w:r w:rsidRPr="00CE6384">
        <w:rPr>
          <w:rFonts w:ascii="Times New Roman" w:hAnsi="Times New Roman"/>
          <w:sz w:val="24"/>
          <w:szCs w:val="24"/>
        </w:rPr>
        <w:t xml:space="preserve">. Al fine di evidenziare l’importanza della norma proposta si segnala che, in assenza della medesima, il singolo cittadino che, senza esercitare alcuna professione, distribuisca senza le dovute cautele in spazi di uso pubblico esche </w:t>
      </w:r>
      <w:proofErr w:type="spellStart"/>
      <w:r w:rsidRPr="00CE6384">
        <w:rPr>
          <w:rFonts w:ascii="Times New Roman" w:hAnsi="Times New Roman"/>
          <w:sz w:val="24"/>
          <w:szCs w:val="24"/>
        </w:rPr>
        <w:t>rodenticide</w:t>
      </w:r>
      <w:proofErr w:type="spellEnd"/>
      <w:r w:rsidRPr="00CE6384">
        <w:rPr>
          <w:rFonts w:ascii="Times New Roman" w:hAnsi="Times New Roman"/>
          <w:sz w:val="24"/>
          <w:szCs w:val="24"/>
        </w:rPr>
        <w:t>, cagionando pericolo mortale per animali domestici come i cani, o comunque pericoli di salute anche per le categorie umane più esposte (come i bambini), sarebbe perseguibile esclusivamente ricercando nella normativa generale possibili sanzioni, la cui applicabilità non sarebbe garantita.</w:t>
      </w:r>
    </w:p>
    <w:p w14:paraId="379C87EC" w14:textId="462261B9" w:rsidR="00F55565" w:rsidRPr="00CE6384" w:rsidRDefault="00F55565" w:rsidP="00F55565">
      <w:pPr>
        <w:autoSpaceDE w:val="0"/>
        <w:spacing w:after="60" w:line="276" w:lineRule="auto"/>
        <w:jc w:val="both"/>
        <w:rPr>
          <w:rFonts w:ascii="Times New Roman" w:hAnsi="Times New Roman"/>
          <w:sz w:val="24"/>
          <w:szCs w:val="24"/>
        </w:rPr>
      </w:pPr>
      <w:r w:rsidRPr="00CE6384">
        <w:rPr>
          <w:rFonts w:ascii="Times New Roman" w:hAnsi="Times New Roman"/>
          <w:sz w:val="24"/>
          <w:szCs w:val="24"/>
        </w:rPr>
        <w:t xml:space="preserve">Tali interventi consentono una maggiore aderenza al Regolamento (UE) 528/2012, il cui articolo 1 specifica che lo stesso intende disciplinare, non solo la messa a disposizione dei biocidi, ma anche il relativo uso, e il cui articolo 17 prevede il rispetto delle condizioni di autorizzazione non solo per la messa a disposizione, ma anche per l’uso di tali prodotti. </w:t>
      </w:r>
      <w:r w:rsidR="001C5D7B" w:rsidRPr="00CE6384">
        <w:rPr>
          <w:rFonts w:ascii="Times New Roman" w:hAnsi="Times New Roman"/>
          <w:sz w:val="24"/>
          <w:szCs w:val="24"/>
        </w:rPr>
        <w:t>È</w:t>
      </w:r>
      <w:r w:rsidRPr="00CE6384">
        <w:rPr>
          <w:rFonts w:ascii="Times New Roman" w:hAnsi="Times New Roman"/>
          <w:sz w:val="24"/>
          <w:szCs w:val="24"/>
        </w:rPr>
        <w:t xml:space="preserve">, pertanto, necessario evitare lacune normative relativamente a ipotesi di uso non conforme dei biocidi che interessino la comunità (uso professionale o industriale, o comunque uso privato che possa determinare pericoli per persone, specie animali non bersaglio o ambiente). </w:t>
      </w:r>
    </w:p>
    <w:p w14:paraId="0B174559" w14:textId="77777777" w:rsidR="00F55565" w:rsidRPr="00CE6384" w:rsidRDefault="00F55565" w:rsidP="00F55565">
      <w:pPr>
        <w:autoSpaceDE w:val="0"/>
        <w:spacing w:after="60" w:line="276" w:lineRule="auto"/>
        <w:jc w:val="both"/>
        <w:rPr>
          <w:rFonts w:ascii="Times New Roman" w:hAnsi="Times New Roman"/>
          <w:sz w:val="24"/>
          <w:szCs w:val="24"/>
        </w:rPr>
      </w:pPr>
      <w:r w:rsidRPr="00CE6384">
        <w:rPr>
          <w:rFonts w:ascii="Times New Roman" w:hAnsi="Times New Roman"/>
          <w:sz w:val="24"/>
          <w:szCs w:val="24"/>
        </w:rPr>
        <w:t>Con riferimento alla lettera b), la medesima è finalizzata a chiarire che il decreto legislativo 15 gennaio 2016, n. 8, che prevede la conversione in sanzione amministrative delle sanzioni penali di natura meramente pecuniaria (multa o ammenda), si applica anche al decreto al decreto legislativo 2 novembre 2021, n. 179, sebbene questo sia posteriore: in tal modo si garantisce l’effettività della sanzione per comportamenti non conformi al Regolamento (UE) 528/2012, a tutela della concorrenza e del mercato nonché del consumatore.</w:t>
      </w:r>
    </w:p>
    <w:p w14:paraId="3218A73F" w14:textId="16ED7AA3" w:rsidR="00F55565" w:rsidRPr="00CE6384" w:rsidRDefault="00F55565" w:rsidP="00F55565">
      <w:pPr>
        <w:autoSpaceDE w:val="0"/>
        <w:spacing w:after="60" w:line="276" w:lineRule="auto"/>
        <w:jc w:val="both"/>
        <w:rPr>
          <w:rFonts w:ascii="Times New Roman" w:hAnsi="Times New Roman"/>
          <w:sz w:val="24"/>
          <w:szCs w:val="24"/>
        </w:rPr>
      </w:pPr>
      <w:r w:rsidRPr="00CE6384">
        <w:rPr>
          <w:rFonts w:ascii="Times New Roman" w:hAnsi="Times New Roman"/>
          <w:b/>
          <w:bCs/>
          <w:sz w:val="24"/>
          <w:szCs w:val="24"/>
        </w:rPr>
        <w:t>Il terzo comma</w:t>
      </w:r>
      <w:r w:rsidRPr="00CE6384">
        <w:rPr>
          <w:rFonts w:ascii="Times New Roman" w:hAnsi="Times New Roman"/>
          <w:sz w:val="24"/>
          <w:szCs w:val="24"/>
        </w:rPr>
        <w:t xml:space="preserve"> risponde ad esigenze di coerenza della lettera del testo normativo oggetto di intervento con l’effettiva applicazione ed applicabilità della norma stessa, eliminando dalla definizione di presidi medico chirurgici e dal relativo regime autorizzativo di cui al d.P.R. 6 ottobre 1998, n. 392 categorie di prodotti ormai da molti anni soggetti a differente normativa europea e non autorizzabili come presidi medico chirurgici. La coerenza della fonte normativa perseguita col suddetto comma consentirebbe al consumatore di orientarsi correttamente tra i regimi normativi dei diversi prodotti, nell’ottica di una maggior informazione che non sia lesa dalla necessità di operazioni ermeneutiche.</w:t>
      </w:r>
      <w:r w:rsidR="00181ABF" w:rsidRPr="00181ABF">
        <w:t xml:space="preserve"> </w:t>
      </w:r>
      <w:r w:rsidR="00181ABF">
        <w:rPr>
          <w:rFonts w:ascii="Times New Roman" w:hAnsi="Times New Roman"/>
          <w:sz w:val="24"/>
          <w:szCs w:val="24"/>
        </w:rPr>
        <w:t xml:space="preserve">Sul punto si precisa che </w:t>
      </w:r>
      <w:r w:rsidR="00181ABF" w:rsidRPr="00181ABF">
        <w:rPr>
          <w:rFonts w:ascii="Times New Roman" w:hAnsi="Times New Roman"/>
          <w:sz w:val="24"/>
          <w:szCs w:val="24"/>
        </w:rPr>
        <w:t>i prodotti “presidi medico chirurgici” sono regolamentati dal d.P.R. 392/98, possono essere solo prodotti a base di sostanze chimiche, non articoli. La loro definizione si può derivare dall’art.1 del già menzionato decreto.</w:t>
      </w:r>
      <w:r w:rsidR="00181ABF">
        <w:rPr>
          <w:rFonts w:ascii="Times New Roman" w:hAnsi="Times New Roman"/>
          <w:sz w:val="24"/>
          <w:szCs w:val="24"/>
        </w:rPr>
        <w:t xml:space="preserve"> Si tratta, nello specifico, di una</w:t>
      </w:r>
      <w:r w:rsidR="00181ABF" w:rsidRPr="00181ABF">
        <w:rPr>
          <w:rFonts w:ascii="Times New Roman" w:hAnsi="Times New Roman"/>
          <w:sz w:val="24"/>
          <w:szCs w:val="24"/>
        </w:rPr>
        <w:t xml:space="preserve"> categoria di prodotti non è da confondere con i dispositivi medici, quali le mascherine, che ricadono nel Regolamento UE 217/745.</w:t>
      </w:r>
      <w:r w:rsidR="00181ABF">
        <w:rPr>
          <w:rFonts w:ascii="Times New Roman" w:hAnsi="Times New Roman"/>
          <w:sz w:val="24"/>
          <w:szCs w:val="24"/>
        </w:rPr>
        <w:t xml:space="preserve"> </w:t>
      </w:r>
      <w:r w:rsidRPr="00CE6384">
        <w:rPr>
          <w:rFonts w:ascii="Times New Roman" w:hAnsi="Times New Roman"/>
          <w:sz w:val="24"/>
          <w:szCs w:val="24"/>
        </w:rPr>
        <w:t xml:space="preserve">Tale comma rende così coerente la normativa nazionale in materia di presidi medico chirurgici con la normativa europea in materia di biocidi (Regolamento UE 528/2012) e dispositivi medico-diagnostici </w:t>
      </w:r>
      <w:r w:rsidRPr="00CE6384">
        <w:rPr>
          <w:rFonts w:ascii="Times New Roman" w:hAnsi="Times New Roman"/>
          <w:i/>
          <w:sz w:val="24"/>
          <w:szCs w:val="24"/>
        </w:rPr>
        <w:t>in vitro</w:t>
      </w:r>
      <w:r w:rsidRPr="00CE6384">
        <w:rPr>
          <w:rFonts w:ascii="Times New Roman" w:hAnsi="Times New Roman"/>
          <w:sz w:val="24"/>
          <w:szCs w:val="24"/>
        </w:rPr>
        <w:t xml:space="preserve"> (Regolamento UE 2017/746), evitando che il d.P.R. 392/1998 assoggetti formalmente al proprio regime autorizzativo prodotti ricadenti in normative europee che prevedono differenti condizioni di impiego.</w:t>
      </w:r>
    </w:p>
    <w:p w14:paraId="04336923" w14:textId="260C4485" w:rsidR="00181ABF" w:rsidRPr="006E3885" w:rsidRDefault="003B2F2D" w:rsidP="00882831">
      <w:pPr>
        <w:autoSpaceDE w:val="0"/>
        <w:spacing w:after="60" w:line="276" w:lineRule="auto"/>
        <w:jc w:val="both"/>
        <w:rPr>
          <w:rFonts w:ascii="Times New Roman" w:hAnsi="Times New Roman"/>
          <w:sz w:val="24"/>
          <w:szCs w:val="24"/>
        </w:rPr>
      </w:pPr>
      <w:r w:rsidRPr="00882831">
        <w:rPr>
          <w:rFonts w:ascii="Times New Roman" w:hAnsi="Times New Roman"/>
          <w:b/>
          <w:bCs/>
          <w:sz w:val="24"/>
          <w:szCs w:val="24"/>
        </w:rPr>
        <w:t xml:space="preserve">L’articolo </w:t>
      </w:r>
      <w:r w:rsidR="00BB460C" w:rsidRPr="00882831">
        <w:rPr>
          <w:rFonts w:ascii="Times New Roman" w:hAnsi="Times New Roman"/>
          <w:b/>
          <w:bCs/>
          <w:sz w:val="24"/>
          <w:szCs w:val="24"/>
        </w:rPr>
        <w:t xml:space="preserve">7 </w:t>
      </w:r>
      <w:r w:rsidR="00882831">
        <w:rPr>
          <w:rFonts w:ascii="Times New Roman" w:hAnsi="Times New Roman"/>
          <w:sz w:val="24"/>
          <w:szCs w:val="24"/>
        </w:rPr>
        <w:t>integra le</w:t>
      </w:r>
      <w:r w:rsidRPr="003B2F2D">
        <w:rPr>
          <w:rFonts w:ascii="Times New Roman" w:hAnsi="Times New Roman"/>
          <w:sz w:val="24"/>
          <w:szCs w:val="24"/>
        </w:rPr>
        <w:t xml:space="preserve"> previsioni di cui agli articoli 8-quater, comma 7 e 8-quinquies, comma 1-bis del d.lgs. n. 502/92, nella formulazione risultante dall’entrata in vigore dell’articolo 15 della legge n.118</w:t>
      </w:r>
      <w:r w:rsidR="00B85425">
        <w:rPr>
          <w:rFonts w:ascii="Times New Roman" w:hAnsi="Times New Roman"/>
          <w:sz w:val="24"/>
          <w:szCs w:val="24"/>
        </w:rPr>
        <w:t xml:space="preserve"> del </w:t>
      </w:r>
      <w:r w:rsidRPr="003B2F2D">
        <w:rPr>
          <w:rFonts w:ascii="Times New Roman" w:hAnsi="Times New Roman"/>
          <w:sz w:val="24"/>
          <w:szCs w:val="24"/>
        </w:rPr>
        <w:t xml:space="preserve">2021, </w:t>
      </w:r>
      <w:r w:rsidR="00882831">
        <w:rPr>
          <w:rFonts w:ascii="Times New Roman" w:hAnsi="Times New Roman"/>
          <w:sz w:val="24"/>
          <w:szCs w:val="24"/>
        </w:rPr>
        <w:t>fissando alcuni indirizzi che vincolano in chiave pro-concorrenziale i lavori del tavolo interistituzional</w:t>
      </w:r>
      <w:r w:rsidR="003B2BA6">
        <w:rPr>
          <w:rFonts w:ascii="Times New Roman" w:hAnsi="Times New Roman"/>
          <w:sz w:val="24"/>
          <w:szCs w:val="24"/>
        </w:rPr>
        <w:t>e</w:t>
      </w:r>
      <w:r w:rsidR="00882831">
        <w:rPr>
          <w:rFonts w:ascii="Times New Roman" w:hAnsi="Times New Roman"/>
          <w:sz w:val="24"/>
          <w:szCs w:val="24"/>
        </w:rPr>
        <w:t xml:space="preserve"> incaricato dell’individuazione dei criteri per l’effettuazione delle gare. La disposizione in particolare prescrive di preservare la</w:t>
      </w:r>
      <w:r w:rsidRPr="003B2F2D">
        <w:rPr>
          <w:rFonts w:ascii="Times New Roman" w:hAnsi="Times New Roman"/>
          <w:sz w:val="24"/>
          <w:szCs w:val="24"/>
        </w:rPr>
        <w:t xml:space="preserve"> continuità assistenziale articolata per tipologia di paziente/assistito e relativa fragilità</w:t>
      </w:r>
      <w:r w:rsidR="00181ABF" w:rsidRPr="00FC0EFF">
        <w:rPr>
          <w:rFonts w:ascii="Times New Roman" w:hAnsi="Times New Roman"/>
          <w:sz w:val="24"/>
          <w:szCs w:val="24"/>
        </w:rPr>
        <w:t xml:space="preserve">, </w:t>
      </w:r>
      <w:r w:rsidR="00882831">
        <w:rPr>
          <w:rFonts w:ascii="Times New Roman" w:hAnsi="Times New Roman"/>
          <w:sz w:val="24"/>
          <w:szCs w:val="24"/>
        </w:rPr>
        <w:t xml:space="preserve">avendo cura di </w:t>
      </w:r>
      <w:r w:rsidR="00181ABF" w:rsidRPr="00FC0EFF">
        <w:rPr>
          <w:rFonts w:ascii="Times New Roman" w:hAnsi="Times New Roman"/>
          <w:sz w:val="24"/>
          <w:szCs w:val="24"/>
        </w:rPr>
        <w:t>differenzia</w:t>
      </w:r>
      <w:r w:rsidR="00882831">
        <w:rPr>
          <w:rFonts w:ascii="Times New Roman" w:hAnsi="Times New Roman"/>
          <w:sz w:val="24"/>
          <w:szCs w:val="24"/>
        </w:rPr>
        <w:t>re</w:t>
      </w:r>
      <w:r w:rsidR="00181ABF" w:rsidRPr="00FC0EFF">
        <w:rPr>
          <w:rFonts w:ascii="Times New Roman" w:hAnsi="Times New Roman"/>
          <w:sz w:val="24"/>
          <w:szCs w:val="24"/>
        </w:rPr>
        <w:t xml:space="preserve">, con diverse procedure ad evidenza pubblica, la valutazione tra il rinnovo e le nuove richieste volte alla stipula degli accordi </w:t>
      </w:r>
      <w:r w:rsidR="00181ABF" w:rsidRPr="00FC0EFF">
        <w:rPr>
          <w:rFonts w:ascii="Times New Roman" w:hAnsi="Times New Roman"/>
          <w:sz w:val="24"/>
          <w:szCs w:val="24"/>
        </w:rPr>
        <w:lastRenderedPageBreak/>
        <w:t>contrattuali di cui all'articolo 8-</w:t>
      </w:r>
      <w:r w:rsidR="00181ABF" w:rsidRPr="00882831">
        <w:rPr>
          <w:rFonts w:ascii="Times New Roman" w:hAnsi="Times New Roman"/>
          <w:sz w:val="24"/>
          <w:szCs w:val="24"/>
        </w:rPr>
        <w:t>quinquies</w:t>
      </w:r>
      <w:r w:rsidR="00181ABF" w:rsidRPr="00FC0EFF">
        <w:rPr>
          <w:rFonts w:ascii="Times New Roman" w:hAnsi="Times New Roman"/>
          <w:sz w:val="24"/>
          <w:szCs w:val="24"/>
        </w:rPr>
        <w:t>, comma 1-</w:t>
      </w:r>
      <w:r w:rsidR="00181ABF" w:rsidRPr="00882831">
        <w:rPr>
          <w:rFonts w:ascii="Times New Roman" w:hAnsi="Times New Roman"/>
          <w:sz w:val="24"/>
          <w:szCs w:val="24"/>
        </w:rPr>
        <w:t>bis</w:t>
      </w:r>
      <w:r w:rsidR="00181ABF" w:rsidRPr="00FC0EFF">
        <w:rPr>
          <w:rFonts w:ascii="Times New Roman" w:hAnsi="Times New Roman"/>
          <w:sz w:val="24"/>
          <w:szCs w:val="24"/>
        </w:rPr>
        <w:t>, del decreto legislativo 30 dicembre 1992, n. 502.</w:t>
      </w:r>
      <w:r w:rsidR="00882831">
        <w:rPr>
          <w:rFonts w:ascii="Times New Roman" w:hAnsi="Times New Roman"/>
          <w:sz w:val="24"/>
          <w:szCs w:val="24"/>
        </w:rPr>
        <w:t xml:space="preserve"> Il senso della disposizione è quello di imporre procedure diverse per i </w:t>
      </w:r>
      <w:proofErr w:type="spellStart"/>
      <w:r w:rsidR="00882831">
        <w:rPr>
          <w:rFonts w:ascii="Times New Roman" w:hAnsi="Times New Roman"/>
          <w:sz w:val="24"/>
          <w:szCs w:val="24"/>
        </w:rPr>
        <w:t>newcomers</w:t>
      </w:r>
      <w:proofErr w:type="spellEnd"/>
      <w:r w:rsidR="00882831">
        <w:rPr>
          <w:rFonts w:ascii="Times New Roman" w:hAnsi="Times New Roman"/>
          <w:sz w:val="24"/>
          <w:szCs w:val="24"/>
        </w:rPr>
        <w:t xml:space="preserve"> rispetto ai soggetti già contrattualizzati che aspirano a un rinnovo, al fine di scongiurare il rischio che l’esperienza propria dei soggetti che vantano un rapporto contrattuale preesistenza possa costituire un vantaggio competitivo e dunque una barriera all’ingresso. </w:t>
      </w:r>
    </w:p>
    <w:p w14:paraId="5287C285" w14:textId="439625E6" w:rsidR="003B2F2D" w:rsidRPr="003B2F2D" w:rsidRDefault="003B2F2D" w:rsidP="00882831">
      <w:pPr>
        <w:autoSpaceDE w:val="0"/>
        <w:spacing w:after="60" w:line="276" w:lineRule="auto"/>
        <w:jc w:val="both"/>
        <w:rPr>
          <w:rFonts w:ascii="Times New Roman" w:hAnsi="Times New Roman"/>
          <w:sz w:val="24"/>
          <w:szCs w:val="24"/>
        </w:rPr>
      </w:pPr>
      <w:r w:rsidRPr="003B2F2D">
        <w:rPr>
          <w:rFonts w:ascii="Times New Roman" w:hAnsi="Times New Roman"/>
          <w:sz w:val="24"/>
          <w:szCs w:val="24"/>
        </w:rPr>
        <w:t xml:space="preserve">Pertanto, per assicurare la coerenza con </w:t>
      </w:r>
      <w:bookmarkStart w:id="2" w:name="_Hlk198029890"/>
      <w:r w:rsidRPr="003B2F2D">
        <w:rPr>
          <w:rFonts w:ascii="Times New Roman" w:hAnsi="Times New Roman"/>
          <w:sz w:val="24"/>
          <w:szCs w:val="24"/>
        </w:rPr>
        <w:t xml:space="preserve">l’articolo 36 della Legge Concorrenza 2023 (legge n.193/2024) </w:t>
      </w:r>
      <w:bookmarkEnd w:id="2"/>
      <w:r w:rsidRPr="003B2F2D">
        <w:rPr>
          <w:rFonts w:ascii="Times New Roman" w:hAnsi="Times New Roman"/>
          <w:sz w:val="24"/>
          <w:szCs w:val="24"/>
        </w:rPr>
        <w:t xml:space="preserve">si propone di inserire dopo il comma 1 di tale articolo, un comma 1 bis, </w:t>
      </w:r>
      <w:bookmarkStart w:id="3" w:name="_Hlk198029792"/>
      <w:r w:rsidRPr="003B2F2D">
        <w:rPr>
          <w:rFonts w:ascii="Times New Roman" w:hAnsi="Times New Roman"/>
          <w:sz w:val="24"/>
          <w:szCs w:val="24"/>
        </w:rPr>
        <w:t xml:space="preserve">che specifica i criteri in base ai quali procedere alla revisione complessiva del processo di accreditamento ivi previsto e che dovrà concludersi entro il 31 dicembre 2026. </w:t>
      </w:r>
    </w:p>
    <w:bookmarkEnd w:id="3"/>
    <w:p w14:paraId="3D3E4B26" w14:textId="77777777" w:rsidR="003B2F2D" w:rsidRPr="003B2F2D" w:rsidRDefault="003B2F2D" w:rsidP="00882831">
      <w:pPr>
        <w:autoSpaceDE w:val="0"/>
        <w:spacing w:after="60" w:line="276" w:lineRule="auto"/>
        <w:jc w:val="both"/>
        <w:rPr>
          <w:rFonts w:ascii="Times New Roman" w:hAnsi="Times New Roman"/>
          <w:sz w:val="24"/>
          <w:szCs w:val="24"/>
        </w:rPr>
      </w:pPr>
      <w:r w:rsidRPr="003B2F2D">
        <w:rPr>
          <w:rFonts w:ascii="Times New Roman" w:hAnsi="Times New Roman"/>
          <w:sz w:val="24"/>
          <w:szCs w:val="24"/>
        </w:rPr>
        <w:t>Tale previsione non pregiudica l’azione di individuazione condivisa con il livello regionale delle modalità finali per dare implementazione allo spirito della riforma di cui alla legge n.118/2021, evitando il rischio di uno stallo istituzionale, atteso che le funzioni programmatorie ed erogative in sanità restano affidate alle competenze normative ed amministrative di ciascuna Regione e Provincia Autonoma.</w:t>
      </w:r>
    </w:p>
    <w:p w14:paraId="6CA3EC75" w14:textId="7AF77DC8" w:rsidR="00C6563B" w:rsidRPr="001313F4" w:rsidRDefault="00C6563B" w:rsidP="00E95618">
      <w:pPr>
        <w:autoSpaceDE w:val="0"/>
        <w:spacing w:after="60" w:line="276" w:lineRule="auto"/>
        <w:jc w:val="both"/>
        <w:rPr>
          <w:rFonts w:ascii="Times New Roman" w:hAnsi="Times New Roman"/>
          <w:sz w:val="24"/>
          <w:szCs w:val="24"/>
        </w:rPr>
      </w:pPr>
      <w:r w:rsidRPr="00104D70">
        <w:rPr>
          <w:rFonts w:ascii="Times New Roman" w:hAnsi="Times New Roman"/>
          <w:b/>
          <w:bCs/>
          <w:sz w:val="24"/>
          <w:szCs w:val="24"/>
        </w:rPr>
        <w:t xml:space="preserve">L’articolo </w:t>
      </w:r>
      <w:r w:rsidR="00BB460C">
        <w:rPr>
          <w:rFonts w:ascii="Times New Roman" w:hAnsi="Times New Roman"/>
          <w:b/>
          <w:bCs/>
          <w:sz w:val="24"/>
          <w:szCs w:val="24"/>
        </w:rPr>
        <w:t>8</w:t>
      </w:r>
      <w:r w:rsidR="00BB460C" w:rsidRPr="001313F4">
        <w:rPr>
          <w:rFonts w:ascii="Times New Roman" w:hAnsi="Times New Roman"/>
          <w:sz w:val="24"/>
          <w:szCs w:val="24"/>
        </w:rPr>
        <w:t xml:space="preserve"> </w:t>
      </w:r>
      <w:r w:rsidR="00E95618">
        <w:rPr>
          <w:rFonts w:ascii="Times New Roman" w:hAnsi="Times New Roman"/>
          <w:sz w:val="24"/>
          <w:szCs w:val="24"/>
        </w:rPr>
        <w:t xml:space="preserve">contiene una disposizione volta a favorire la ricerca applicata e la trasformazione tecnologica delle filiere produttive nazionali, </w:t>
      </w:r>
      <w:r w:rsidRPr="001313F4">
        <w:rPr>
          <w:rFonts w:ascii="Times New Roman" w:hAnsi="Times New Roman"/>
          <w:sz w:val="24"/>
          <w:szCs w:val="24"/>
        </w:rPr>
        <w:t>supporta</w:t>
      </w:r>
      <w:r w:rsidR="00E95618">
        <w:rPr>
          <w:rFonts w:ascii="Times New Roman" w:hAnsi="Times New Roman"/>
          <w:sz w:val="24"/>
          <w:szCs w:val="24"/>
        </w:rPr>
        <w:t>ndo</w:t>
      </w:r>
      <w:r w:rsidRPr="001313F4">
        <w:rPr>
          <w:rFonts w:ascii="Times New Roman" w:hAnsi="Times New Roman"/>
          <w:sz w:val="24"/>
          <w:szCs w:val="24"/>
        </w:rPr>
        <w:t xml:space="preserve"> le attività destinate al trasferimento delle conoscenze della ricerca scientifica ai settori produttivi e industriali, in modo da colmare i</w:t>
      </w:r>
      <w:r w:rsidR="00AD45C7">
        <w:rPr>
          <w:rFonts w:ascii="Times New Roman" w:hAnsi="Times New Roman"/>
          <w:sz w:val="24"/>
          <w:szCs w:val="24"/>
        </w:rPr>
        <w:t>l</w:t>
      </w:r>
      <w:r w:rsidRPr="001313F4">
        <w:rPr>
          <w:rFonts w:ascii="Times New Roman" w:hAnsi="Times New Roman"/>
          <w:sz w:val="24"/>
          <w:szCs w:val="24"/>
        </w:rPr>
        <w:t xml:space="preserve"> gap di investiment</w:t>
      </w:r>
      <w:r w:rsidR="00AD45C7">
        <w:rPr>
          <w:rFonts w:ascii="Times New Roman" w:hAnsi="Times New Roman"/>
          <w:sz w:val="24"/>
          <w:szCs w:val="24"/>
        </w:rPr>
        <w:t>o</w:t>
      </w:r>
      <w:r w:rsidRPr="001313F4">
        <w:rPr>
          <w:rFonts w:ascii="Times New Roman" w:hAnsi="Times New Roman"/>
          <w:sz w:val="24"/>
          <w:szCs w:val="24"/>
        </w:rPr>
        <w:t xml:space="preserve"> che vedono ancora il nostro Paese al di sotto degli standard europei. </w:t>
      </w:r>
    </w:p>
    <w:p w14:paraId="58E995EA" w14:textId="11B4940B" w:rsidR="00C6563B" w:rsidRPr="001313F4" w:rsidRDefault="00C80DF6" w:rsidP="00C6563B">
      <w:pPr>
        <w:autoSpaceDE w:val="0"/>
        <w:spacing w:after="60" w:line="276" w:lineRule="auto"/>
        <w:jc w:val="both"/>
        <w:rPr>
          <w:rFonts w:ascii="Times New Roman" w:hAnsi="Times New Roman"/>
          <w:sz w:val="24"/>
          <w:szCs w:val="24"/>
        </w:rPr>
      </w:pPr>
      <w:r w:rsidRPr="00104D70">
        <w:rPr>
          <w:rFonts w:ascii="Times New Roman" w:hAnsi="Times New Roman"/>
          <w:sz w:val="24"/>
          <w:szCs w:val="24"/>
        </w:rPr>
        <w:t xml:space="preserve">Tra i punti di debolezza del sistema italiano un primo elemento è rappresentato dal basso livello di innovazione del sistema. Gli investimenti privati in ricerca e sviluppo presentano una situazione similare con un’arretratezza dell’Italia rispetto a Germania, Francia e, in generale, ai Paesi europei maggiormente avanzati. Anche i centri di ricerca e trasferimento tecnologico hanno riscontrato delle difficoltà nel creare sinergie tra attività di ricerche private e pubbliche nella produzione di brevetti rispetto alle principali economie europee. In Italia, in media, negli anni 2019- 2021, i primi 5 Enti Per la Ricerca (EPR) d’eccellenza hanno prodotto 96 brevetti, circa 6 volte meno quelli prodotti dalla tedesca Fraunhofer, la più vasta organizzazione per la ricerca di eccellenza in Europa, evidenziando la maggior difficoltà italiana rispetto ai partner. </w:t>
      </w:r>
      <w:r w:rsidR="00AD45C7">
        <w:rPr>
          <w:rFonts w:ascii="Times New Roman" w:hAnsi="Times New Roman"/>
          <w:sz w:val="24"/>
          <w:szCs w:val="24"/>
        </w:rPr>
        <w:t xml:space="preserve"> </w:t>
      </w:r>
      <w:r w:rsidR="00C6563B" w:rsidRPr="001313F4">
        <w:rPr>
          <w:rFonts w:ascii="Times New Roman" w:hAnsi="Times New Roman"/>
          <w:sz w:val="24"/>
          <w:szCs w:val="24"/>
        </w:rPr>
        <w:t>Per quanto riguarda il valore della produzione di brevetti industriali, invece, questa è pari a 4.600 brevetti di aziende italiane depositati all’Ufficio Europeo dei Brevetti nel 2020, contro i 25.954 della Germania e i 10.554 della Francia.</w:t>
      </w:r>
    </w:p>
    <w:p w14:paraId="61C1B81F" w14:textId="541916D9" w:rsidR="00C6563B" w:rsidRPr="001313F4" w:rsidRDefault="00C6563B" w:rsidP="00C6563B">
      <w:pPr>
        <w:autoSpaceDE w:val="0"/>
        <w:spacing w:after="60" w:line="276" w:lineRule="auto"/>
        <w:jc w:val="both"/>
        <w:rPr>
          <w:rFonts w:ascii="Times New Roman" w:hAnsi="Times New Roman"/>
          <w:sz w:val="24"/>
          <w:szCs w:val="24"/>
        </w:rPr>
      </w:pPr>
      <w:r w:rsidRPr="001313F4">
        <w:rPr>
          <w:rFonts w:ascii="Times New Roman" w:hAnsi="Times New Roman"/>
          <w:sz w:val="24"/>
          <w:szCs w:val="24"/>
        </w:rPr>
        <w:t>Non è, tuttavia, soltanto questione di grandezza e numerosità, molto dipende</w:t>
      </w:r>
      <w:r w:rsidR="006C5476">
        <w:rPr>
          <w:rFonts w:ascii="Times New Roman" w:hAnsi="Times New Roman"/>
          <w:sz w:val="24"/>
          <w:szCs w:val="24"/>
        </w:rPr>
        <w:t xml:space="preserve"> </w:t>
      </w:r>
      <w:r w:rsidRPr="001313F4">
        <w:rPr>
          <w:rFonts w:ascii="Times New Roman" w:hAnsi="Times New Roman"/>
          <w:sz w:val="24"/>
          <w:szCs w:val="24"/>
        </w:rPr>
        <w:t xml:space="preserve">dalla mancanza di un approccio davvero coordinato a tutti i livelli istituzionali e </w:t>
      </w:r>
      <w:r w:rsidR="00AD45C7">
        <w:rPr>
          <w:rFonts w:ascii="Times New Roman" w:hAnsi="Times New Roman"/>
          <w:sz w:val="24"/>
          <w:szCs w:val="24"/>
        </w:rPr>
        <w:t>da</w:t>
      </w:r>
      <w:r w:rsidRPr="001313F4">
        <w:rPr>
          <w:rFonts w:ascii="Times New Roman" w:hAnsi="Times New Roman"/>
          <w:sz w:val="24"/>
          <w:szCs w:val="24"/>
        </w:rPr>
        <w:t>lla scarca attitudine a collaborare per realizzare spin-off innovativi differenziati nei diversi settori e consentire dunque all’attività di ricerca e sviluppo di canalizzarsi e diventare impresa.</w:t>
      </w:r>
      <w:r w:rsidR="00D2214B">
        <w:rPr>
          <w:rFonts w:ascii="Times New Roman" w:hAnsi="Times New Roman"/>
          <w:sz w:val="24"/>
          <w:szCs w:val="24"/>
        </w:rPr>
        <w:t xml:space="preserve"> </w:t>
      </w:r>
      <w:r w:rsidRPr="00104D70">
        <w:rPr>
          <w:rFonts w:ascii="Times New Roman" w:hAnsi="Times New Roman"/>
          <w:sz w:val="24"/>
          <w:szCs w:val="24"/>
        </w:rPr>
        <w:t>Il trasferimento tecnologico si basa infatti su un’alleanza strategica tra ricerca, impresa e politiche di governo, dove la convergenza di obiettivi trova la sua forza nel rispetto delle specificità dei tre attori</w:t>
      </w:r>
      <w:r w:rsidR="00AD45C7">
        <w:rPr>
          <w:rFonts w:ascii="Times New Roman" w:hAnsi="Times New Roman"/>
          <w:sz w:val="24"/>
          <w:szCs w:val="24"/>
        </w:rPr>
        <w:t>.</w:t>
      </w:r>
    </w:p>
    <w:p w14:paraId="5FC16F9A" w14:textId="77777777" w:rsidR="00C6563B" w:rsidRPr="001313F4" w:rsidRDefault="00C6563B" w:rsidP="00C6563B">
      <w:pPr>
        <w:autoSpaceDE w:val="0"/>
        <w:spacing w:after="60" w:line="276" w:lineRule="auto"/>
        <w:jc w:val="both"/>
        <w:rPr>
          <w:rFonts w:ascii="Times New Roman" w:hAnsi="Times New Roman"/>
          <w:sz w:val="24"/>
          <w:szCs w:val="24"/>
        </w:rPr>
      </w:pPr>
      <w:r w:rsidRPr="001313F4">
        <w:rPr>
          <w:rFonts w:ascii="Times New Roman" w:hAnsi="Times New Roman"/>
          <w:sz w:val="24"/>
          <w:szCs w:val="24"/>
        </w:rPr>
        <w:t>Il percorso volto a sostenere il trasferimento tecnologico e rafforzare l’ecosistema dell’innovazione, oltre ovviamente agli interventi previsti e finanziati con il PNRR, ha già raggiunto un traguardo di particolare importanza con la modifica normativa introdotta nel 2023 all’art. 65 del Codice della proprietà industriale, con la quale è stato rivoluzionato il regime della titolarità delle invenzioni, abrogando, il regime del cosiddetto “</w:t>
      </w:r>
      <w:r w:rsidRPr="00104D70">
        <w:rPr>
          <w:rFonts w:ascii="Times New Roman" w:hAnsi="Times New Roman"/>
          <w:sz w:val="24"/>
          <w:szCs w:val="24"/>
        </w:rPr>
        <w:t xml:space="preserve">professor </w:t>
      </w:r>
      <w:proofErr w:type="spellStart"/>
      <w:r w:rsidRPr="00104D70">
        <w:rPr>
          <w:rFonts w:ascii="Times New Roman" w:hAnsi="Times New Roman"/>
          <w:sz w:val="24"/>
          <w:szCs w:val="24"/>
        </w:rPr>
        <w:t>privilege</w:t>
      </w:r>
      <w:proofErr w:type="spellEnd"/>
      <w:r w:rsidRPr="001313F4">
        <w:rPr>
          <w:rFonts w:ascii="Times New Roman" w:hAnsi="Times New Roman"/>
          <w:sz w:val="24"/>
          <w:szCs w:val="24"/>
        </w:rPr>
        <w:t xml:space="preserve">” in base al quale i diritti di proprietà industriale relativi alle invenzioni brevettabili ottenute nell’ambito dell’attività di ricerca erano attribuiti ai ricercatori universitari. </w:t>
      </w:r>
    </w:p>
    <w:p w14:paraId="4E5C03AA" w14:textId="59F1F617" w:rsidR="00C6563B" w:rsidRPr="00104D70" w:rsidRDefault="00C6563B" w:rsidP="00104D70">
      <w:pPr>
        <w:autoSpaceDE w:val="0"/>
        <w:spacing w:after="60" w:line="276" w:lineRule="auto"/>
        <w:jc w:val="both"/>
        <w:rPr>
          <w:rFonts w:ascii="Times New Roman" w:hAnsi="Times New Roman"/>
          <w:sz w:val="24"/>
          <w:szCs w:val="24"/>
        </w:rPr>
      </w:pPr>
      <w:r w:rsidRPr="00104D70">
        <w:rPr>
          <w:rFonts w:ascii="Times New Roman" w:hAnsi="Times New Roman"/>
          <w:sz w:val="24"/>
          <w:szCs w:val="24"/>
        </w:rPr>
        <w:lastRenderedPageBreak/>
        <w:t>L’obiettivo, adesso, è quello di favori</w:t>
      </w:r>
      <w:r w:rsidR="00AD45C7">
        <w:rPr>
          <w:rFonts w:ascii="Times New Roman" w:hAnsi="Times New Roman"/>
          <w:sz w:val="24"/>
          <w:szCs w:val="24"/>
        </w:rPr>
        <w:t>re</w:t>
      </w:r>
      <w:r w:rsidRPr="00104D70">
        <w:rPr>
          <w:rFonts w:ascii="Times New Roman" w:hAnsi="Times New Roman"/>
          <w:sz w:val="24"/>
          <w:szCs w:val="24"/>
        </w:rPr>
        <w:t xml:space="preserve"> la creazione di un ecosistema virtuoso destinato a interagire con il mondo universitario, a coinvolgere soggetti privati e investitori, contribuendo a rafforzare l’intera filiera del trasferimento tecnologico. </w:t>
      </w:r>
    </w:p>
    <w:p w14:paraId="1AE347D5" w14:textId="651DFF7E" w:rsidR="00C6563B" w:rsidRPr="00B437DE" w:rsidRDefault="00EC00B6" w:rsidP="00C6563B">
      <w:pPr>
        <w:autoSpaceDE w:val="0"/>
        <w:spacing w:after="60" w:line="276" w:lineRule="auto"/>
        <w:jc w:val="both"/>
        <w:rPr>
          <w:rFonts w:ascii="Times New Roman" w:hAnsi="Times New Roman"/>
          <w:sz w:val="24"/>
          <w:szCs w:val="24"/>
        </w:rPr>
      </w:pPr>
      <w:r w:rsidRPr="00EC00B6">
        <w:rPr>
          <w:rFonts w:ascii="Times New Roman" w:hAnsi="Times New Roman"/>
          <w:sz w:val="24"/>
          <w:szCs w:val="24"/>
        </w:rPr>
        <w:t xml:space="preserve">La disposizione ha l’obiettivo di rafforzare il “trasferimento tecnologico”, migliorando il processo di utilizzo delle </w:t>
      </w:r>
      <w:r w:rsidRPr="00B437DE">
        <w:rPr>
          <w:rFonts w:ascii="Times New Roman" w:hAnsi="Times New Roman"/>
          <w:sz w:val="24"/>
          <w:szCs w:val="24"/>
        </w:rPr>
        <w:t xml:space="preserve">risorse MIMIT, già stanziate nell’ambito del fondo per il trasferimento tecnologico.  </w:t>
      </w:r>
      <w:r w:rsidR="00C6563B" w:rsidRPr="00B437DE">
        <w:rPr>
          <w:rFonts w:ascii="Times New Roman" w:hAnsi="Times New Roman"/>
          <w:sz w:val="24"/>
          <w:szCs w:val="24"/>
        </w:rPr>
        <w:t xml:space="preserve">  </w:t>
      </w:r>
    </w:p>
    <w:p w14:paraId="1C47648A" w14:textId="12673DCB" w:rsidR="00C6563B" w:rsidRPr="00F55565" w:rsidRDefault="00C6563B" w:rsidP="00C6563B">
      <w:pPr>
        <w:autoSpaceDE w:val="0"/>
        <w:spacing w:after="60" w:line="276" w:lineRule="auto"/>
        <w:jc w:val="both"/>
        <w:rPr>
          <w:rFonts w:ascii="Times New Roman" w:hAnsi="Times New Roman"/>
          <w:sz w:val="24"/>
          <w:szCs w:val="24"/>
        </w:rPr>
      </w:pPr>
      <w:r w:rsidRPr="00B437DE">
        <w:rPr>
          <w:rFonts w:ascii="Times New Roman" w:hAnsi="Times New Roman"/>
          <w:sz w:val="24"/>
          <w:szCs w:val="24"/>
        </w:rPr>
        <w:t xml:space="preserve">Nello specifico, </w:t>
      </w:r>
      <w:r w:rsidR="006C5476" w:rsidRPr="00B437DE">
        <w:rPr>
          <w:rFonts w:ascii="Times New Roman" w:hAnsi="Times New Roman"/>
          <w:sz w:val="24"/>
          <w:szCs w:val="24"/>
        </w:rPr>
        <w:t>si</w:t>
      </w:r>
      <w:r w:rsidRPr="00B437DE">
        <w:rPr>
          <w:rFonts w:ascii="Times New Roman" w:hAnsi="Times New Roman"/>
          <w:sz w:val="24"/>
          <w:szCs w:val="24"/>
        </w:rPr>
        <w:t xml:space="preserve"> prevede al </w:t>
      </w:r>
      <w:r w:rsidRPr="00B437DE">
        <w:rPr>
          <w:rFonts w:ascii="Times New Roman" w:hAnsi="Times New Roman"/>
          <w:b/>
          <w:bCs/>
          <w:sz w:val="24"/>
          <w:szCs w:val="24"/>
        </w:rPr>
        <w:t>comma 2</w:t>
      </w:r>
      <w:r w:rsidRPr="00B437DE">
        <w:rPr>
          <w:rFonts w:ascii="Times New Roman" w:hAnsi="Times New Roman"/>
          <w:sz w:val="24"/>
          <w:szCs w:val="24"/>
        </w:rPr>
        <w:t xml:space="preserve">, che il </w:t>
      </w:r>
      <w:bookmarkStart w:id="4" w:name="_Hlk194570543"/>
      <w:r w:rsidRPr="00B437DE">
        <w:rPr>
          <w:rFonts w:ascii="Times New Roman" w:hAnsi="Times New Roman"/>
          <w:sz w:val="24"/>
          <w:szCs w:val="24"/>
        </w:rPr>
        <w:t xml:space="preserve">Ministero delle imprese e del made in </w:t>
      </w:r>
      <w:proofErr w:type="spellStart"/>
      <w:r w:rsidRPr="00B437DE">
        <w:rPr>
          <w:rFonts w:ascii="Times New Roman" w:hAnsi="Times New Roman"/>
          <w:sz w:val="24"/>
          <w:szCs w:val="24"/>
        </w:rPr>
        <w:t>Italy</w:t>
      </w:r>
      <w:proofErr w:type="spellEnd"/>
      <w:r w:rsidR="00F55565" w:rsidRPr="00B437DE">
        <w:rPr>
          <w:rFonts w:ascii="Times New Roman" w:hAnsi="Times New Roman"/>
          <w:sz w:val="24"/>
          <w:szCs w:val="24"/>
        </w:rPr>
        <w:t xml:space="preserve"> e il Ministero dell’università e della ricerca scientifica</w:t>
      </w:r>
      <w:r w:rsidRPr="00B437DE">
        <w:rPr>
          <w:rFonts w:ascii="Times New Roman" w:hAnsi="Times New Roman"/>
          <w:sz w:val="24"/>
          <w:szCs w:val="24"/>
        </w:rPr>
        <w:t xml:space="preserve"> elabora</w:t>
      </w:r>
      <w:r w:rsidR="00F55565" w:rsidRPr="00B437DE">
        <w:rPr>
          <w:rFonts w:ascii="Times New Roman" w:hAnsi="Times New Roman"/>
          <w:sz w:val="24"/>
          <w:szCs w:val="24"/>
        </w:rPr>
        <w:t>no</w:t>
      </w:r>
      <w:r w:rsidRPr="00B437DE">
        <w:rPr>
          <w:rFonts w:ascii="Times New Roman" w:hAnsi="Times New Roman"/>
          <w:sz w:val="24"/>
          <w:szCs w:val="24"/>
        </w:rPr>
        <w:t xml:space="preserve"> un </w:t>
      </w:r>
      <w:r w:rsidR="00F55565" w:rsidRPr="00B437DE">
        <w:rPr>
          <w:rFonts w:ascii="Times New Roman" w:hAnsi="Times New Roman"/>
          <w:sz w:val="24"/>
          <w:szCs w:val="24"/>
        </w:rPr>
        <w:t>a</w:t>
      </w:r>
      <w:r w:rsidRPr="00B437DE">
        <w:rPr>
          <w:rFonts w:ascii="Times New Roman" w:hAnsi="Times New Roman"/>
          <w:sz w:val="24"/>
          <w:szCs w:val="24"/>
        </w:rPr>
        <w:t xml:space="preserve">tto di indirizzo strategico in materia di trasferimento tecnologico, sottoposto </w:t>
      </w:r>
      <w:r w:rsidRPr="001313F4">
        <w:rPr>
          <w:rFonts w:ascii="Times New Roman" w:hAnsi="Times New Roman"/>
          <w:sz w:val="24"/>
          <w:szCs w:val="24"/>
        </w:rPr>
        <w:t>a consultazione pubblica</w:t>
      </w:r>
      <w:r w:rsidR="00F55565">
        <w:rPr>
          <w:rFonts w:ascii="Times New Roman" w:hAnsi="Times New Roman"/>
          <w:sz w:val="24"/>
          <w:szCs w:val="24"/>
        </w:rPr>
        <w:t xml:space="preserve"> e approvato con decreto dei predetti Ministri</w:t>
      </w:r>
      <w:r w:rsidRPr="001313F4">
        <w:rPr>
          <w:rFonts w:ascii="Times New Roman" w:hAnsi="Times New Roman"/>
          <w:sz w:val="24"/>
          <w:szCs w:val="24"/>
        </w:rPr>
        <w:t xml:space="preserve">. Il </w:t>
      </w:r>
      <w:r w:rsidRPr="00104D70">
        <w:rPr>
          <w:rFonts w:ascii="Times New Roman" w:hAnsi="Times New Roman"/>
          <w:b/>
          <w:bCs/>
          <w:sz w:val="24"/>
          <w:szCs w:val="24"/>
        </w:rPr>
        <w:t>comma 3</w:t>
      </w:r>
      <w:r w:rsidRPr="001313F4">
        <w:rPr>
          <w:rFonts w:ascii="Times New Roman" w:hAnsi="Times New Roman"/>
          <w:sz w:val="24"/>
          <w:szCs w:val="24"/>
        </w:rPr>
        <w:t xml:space="preserve"> interviene sulla </w:t>
      </w:r>
      <w:r w:rsidR="00F55565">
        <w:rPr>
          <w:rFonts w:ascii="Times New Roman" w:hAnsi="Times New Roman"/>
          <w:sz w:val="24"/>
          <w:szCs w:val="24"/>
        </w:rPr>
        <w:t>“f</w:t>
      </w:r>
      <w:r w:rsidRPr="001313F4">
        <w:rPr>
          <w:rFonts w:ascii="Times New Roman" w:hAnsi="Times New Roman"/>
          <w:sz w:val="24"/>
          <w:szCs w:val="24"/>
        </w:rPr>
        <w:t xml:space="preserve">ondazione Enea Tech e </w:t>
      </w:r>
      <w:proofErr w:type="spellStart"/>
      <w:r w:rsidRPr="001313F4">
        <w:rPr>
          <w:rFonts w:ascii="Times New Roman" w:hAnsi="Times New Roman"/>
          <w:sz w:val="24"/>
          <w:szCs w:val="24"/>
        </w:rPr>
        <w:t>Biomedical</w:t>
      </w:r>
      <w:proofErr w:type="spellEnd"/>
      <w:r w:rsidRPr="001313F4">
        <w:rPr>
          <w:rFonts w:ascii="Times New Roman" w:hAnsi="Times New Roman"/>
          <w:sz w:val="24"/>
          <w:szCs w:val="24"/>
        </w:rPr>
        <w:t xml:space="preserve">” </w:t>
      </w:r>
      <w:r w:rsidR="00EB77E2" w:rsidRPr="001313F4">
        <w:rPr>
          <w:rFonts w:ascii="Times New Roman" w:hAnsi="Times New Roman"/>
          <w:sz w:val="24"/>
          <w:szCs w:val="24"/>
        </w:rPr>
        <w:t>- istituita</w:t>
      </w:r>
      <w:r w:rsidRPr="001313F4">
        <w:rPr>
          <w:rFonts w:ascii="Times New Roman" w:hAnsi="Times New Roman"/>
          <w:sz w:val="24"/>
          <w:szCs w:val="24"/>
        </w:rPr>
        <w:t xml:space="preserve"> ai sensi dell’articolo 42, comma 5, del decreto</w:t>
      </w:r>
      <w:r w:rsidR="00E43DB3">
        <w:rPr>
          <w:rFonts w:ascii="Times New Roman" w:hAnsi="Times New Roman"/>
          <w:sz w:val="24"/>
          <w:szCs w:val="24"/>
        </w:rPr>
        <w:t xml:space="preserve"> </w:t>
      </w:r>
      <w:r w:rsidRPr="001313F4">
        <w:rPr>
          <w:rFonts w:ascii="Times New Roman" w:hAnsi="Times New Roman"/>
          <w:sz w:val="24"/>
          <w:szCs w:val="24"/>
        </w:rPr>
        <w:t>legge 19 maggio 2020, n. 34, convertito, con modificazioni, dalla legge 17 luglio 2020, n.</w:t>
      </w:r>
      <w:r w:rsidR="00DE5690">
        <w:rPr>
          <w:rFonts w:ascii="Times New Roman" w:hAnsi="Times New Roman"/>
          <w:sz w:val="24"/>
          <w:szCs w:val="24"/>
        </w:rPr>
        <w:t xml:space="preserve"> </w:t>
      </w:r>
      <w:r w:rsidRPr="001313F4">
        <w:rPr>
          <w:rFonts w:ascii="Times New Roman" w:hAnsi="Times New Roman"/>
          <w:sz w:val="24"/>
          <w:szCs w:val="24"/>
        </w:rPr>
        <w:t xml:space="preserve">77 </w:t>
      </w:r>
      <w:r w:rsidR="00F55565">
        <w:rPr>
          <w:rFonts w:ascii="Times New Roman" w:hAnsi="Times New Roman"/>
          <w:sz w:val="24"/>
          <w:szCs w:val="24"/>
        </w:rPr>
        <w:t xml:space="preserve">e ridenominata ai sensi del successivo comma 7 quale “fondazione </w:t>
      </w:r>
      <w:r w:rsidR="00F55565" w:rsidRPr="00F55565">
        <w:rPr>
          <w:rFonts w:ascii="Times New Roman" w:hAnsi="Times New Roman"/>
          <w:sz w:val="24"/>
          <w:szCs w:val="24"/>
        </w:rPr>
        <w:t xml:space="preserve">Tech e </w:t>
      </w:r>
      <w:proofErr w:type="spellStart"/>
      <w:r w:rsidR="00F55565" w:rsidRPr="00F55565">
        <w:rPr>
          <w:rFonts w:ascii="Times New Roman" w:hAnsi="Times New Roman"/>
          <w:sz w:val="24"/>
          <w:szCs w:val="24"/>
        </w:rPr>
        <w:t>Biomedical</w:t>
      </w:r>
      <w:proofErr w:type="spellEnd"/>
      <w:r w:rsidR="00F55565">
        <w:rPr>
          <w:rFonts w:ascii="Times New Roman" w:hAnsi="Times New Roman"/>
          <w:sz w:val="24"/>
          <w:szCs w:val="24"/>
        </w:rPr>
        <w:t>”</w:t>
      </w:r>
      <w:r w:rsidR="00F55565" w:rsidRPr="001313F4">
        <w:rPr>
          <w:rFonts w:ascii="Times New Roman" w:hAnsi="Times New Roman"/>
          <w:sz w:val="24"/>
          <w:szCs w:val="24"/>
        </w:rPr>
        <w:t xml:space="preserve"> </w:t>
      </w:r>
      <w:r w:rsidRPr="001313F4">
        <w:rPr>
          <w:rFonts w:ascii="Times New Roman" w:hAnsi="Times New Roman"/>
          <w:sz w:val="24"/>
          <w:szCs w:val="24"/>
        </w:rPr>
        <w:t>–</w:t>
      </w:r>
      <w:r w:rsidR="00F55565">
        <w:rPr>
          <w:rFonts w:ascii="Times New Roman" w:hAnsi="Times New Roman"/>
          <w:sz w:val="24"/>
          <w:szCs w:val="24"/>
        </w:rPr>
        <w:t xml:space="preserve"> </w:t>
      </w:r>
      <w:r w:rsidRPr="001313F4">
        <w:rPr>
          <w:rFonts w:ascii="Times New Roman" w:hAnsi="Times New Roman"/>
          <w:sz w:val="24"/>
          <w:szCs w:val="24"/>
        </w:rPr>
        <w:t>cui vengono trasferite le risorse destinate agli interventi del Fondo per il trasferimento tecnologico (di cui al comma 1 dell’articolo 42 del decreto</w:t>
      </w:r>
      <w:r w:rsidR="00E43DB3">
        <w:rPr>
          <w:rFonts w:ascii="Times New Roman" w:hAnsi="Times New Roman"/>
          <w:sz w:val="24"/>
          <w:szCs w:val="24"/>
        </w:rPr>
        <w:t xml:space="preserve"> </w:t>
      </w:r>
      <w:r w:rsidRPr="001313F4">
        <w:rPr>
          <w:rFonts w:ascii="Times New Roman" w:hAnsi="Times New Roman"/>
          <w:sz w:val="24"/>
          <w:szCs w:val="24"/>
        </w:rPr>
        <w:t xml:space="preserve">legge </w:t>
      </w:r>
      <w:r w:rsidR="00E43DB3">
        <w:rPr>
          <w:rFonts w:ascii="Times New Roman" w:hAnsi="Times New Roman"/>
          <w:sz w:val="24"/>
          <w:szCs w:val="24"/>
        </w:rPr>
        <w:t>n. 34/</w:t>
      </w:r>
      <w:r w:rsidRPr="001313F4">
        <w:rPr>
          <w:rFonts w:ascii="Times New Roman" w:hAnsi="Times New Roman"/>
          <w:sz w:val="24"/>
          <w:szCs w:val="24"/>
        </w:rPr>
        <w:t>2020</w:t>
      </w:r>
      <w:r w:rsidR="003A3970">
        <w:rPr>
          <w:rFonts w:ascii="Times New Roman" w:hAnsi="Times New Roman"/>
          <w:sz w:val="24"/>
          <w:szCs w:val="24"/>
        </w:rPr>
        <w:t>)</w:t>
      </w:r>
      <w:r w:rsidRPr="001313F4">
        <w:rPr>
          <w:rFonts w:ascii="Times New Roman" w:hAnsi="Times New Roman"/>
          <w:sz w:val="24"/>
          <w:szCs w:val="24"/>
        </w:rPr>
        <w:t xml:space="preserve"> nel limite di 250 milioni </w:t>
      </w:r>
      <w:r w:rsidRPr="00F55565">
        <w:rPr>
          <w:rFonts w:ascii="Times New Roman" w:hAnsi="Times New Roman"/>
          <w:sz w:val="24"/>
          <w:szCs w:val="24"/>
        </w:rPr>
        <w:t>di euro.</w:t>
      </w:r>
    </w:p>
    <w:p w14:paraId="79E8B169" w14:textId="4FF6236E" w:rsidR="00C6563B" w:rsidRPr="001313F4" w:rsidRDefault="00C6563B" w:rsidP="00C6563B">
      <w:pPr>
        <w:autoSpaceDE w:val="0"/>
        <w:spacing w:after="60" w:line="276" w:lineRule="auto"/>
        <w:jc w:val="both"/>
        <w:rPr>
          <w:rFonts w:ascii="Times New Roman" w:hAnsi="Times New Roman"/>
          <w:sz w:val="24"/>
          <w:szCs w:val="24"/>
        </w:rPr>
      </w:pPr>
      <w:r w:rsidRPr="00F55565">
        <w:rPr>
          <w:rFonts w:ascii="Times New Roman" w:hAnsi="Times New Roman"/>
          <w:sz w:val="24"/>
          <w:szCs w:val="24"/>
        </w:rPr>
        <w:t xml:space="preserve">Il </w:t>
      </w:r>
      <w:r w:rsidRPr="00F55565">
        <w:rPr>
          <w:rFonts w:ascii="Times New Roman" w:hAnsi="Times New Roman"/>
          <w:b/>
          <w:bCs/>
          <w:sz w:val="24"/>
          <w:szCs w:val="24"/>
        </w:rPr>
        <w:t>comma 4</w:t>
      </w:r>
      <w:r w:rsidRPr="00F55565">
        <w:rPr>
          <w:rFonts w:ascii="Times New Roman" w:hAnsi="Times New Roman"/>
          <w:sz w:val="24"/>
          <w:szCs w:val="24"/>
        </w:rPr>
        <w:t xml:space="preserve"> </w:t>
      </w:r>
      <w:r w:rsidR="00EC00B6" w:rsidRPr="00F55565">
        <w:rPr>
          <w:rFonts w:ascii="Times New Roman" w:hAnsi="Times New Roman"/>
          <w:sz w:val="24"/>
          <w:szCs w:val="24"/>
        </w:rPr>
        <w:t xml:space="preserve">prevede che possono concorrere al raggiungimento dell’obiettivo tutte le Fondazioni che hanno competenze, finali o strumentali, connesse o accessorie in materia di trasferimento tecnologico, nonché i centri di competenza ad alta specializzazione di cui all’articolo 1, comma 115, della legge 11 dicembre 2016, n. 232, </w:t>
      </w:r>
      <w:r w:rsidRPr="00F55565">
        <w:rPr>
          <w:rFonts w:ascii="Times New Roman" w:hAnsi="Times New Roman"/>
          <w:sz w:val="24"/>
          <w:szCs w:val="24"/>
        </w:rPr>
        <w:t xml:space="preserve">mentre il </w:t>
      </w:r>
      <w:r w:rsidRPr="00F55565">
        <w:rPr>
          <w:rFonts w:ascii="Times New Roman" w:hAnsi="Times New Roman"/>
          <w:b/>
          <w:bCs/>
          <w:sz w:val="24"/>
          <w:szCs w:val="24"/>
        </w:rPr>
        <w:t>comma 5</w:t>
      </w:r>
      <w:r w:rsidRPr="00F55565">
        <w:rPr>
          <w:rFonts w:ascii="Times New Roman" w:hAnsi="Times New Roman"/>
          <w:sz w:val="24"/>
          <w:szCs w:val="24"/>
        </w:rPr>
        <w:t xml:space="preserve"> precisa che </w:t>
      </w:r>
      <w:r w:rsidR="00EC00B6" w:rsidRPr="00F55565">
        <w:rPr>
          <w:rFonts w:ascii="Times New Roman" w:hAnsi="Times New Roman"/>
          <w:sz w:val="24"/>
          <w:szCs w:val="24"/>
        </w:rPr>
        <w:t xml:space="preserve">i predetti soggetti </w:t>
      </w:r>
      <w:r w:rsidRPr="00F55565">
        <w:rPr>
          <w:rFonts w:ascii="Times New Roman" w:hAnsi="Times New Roman"/>
          <w:sz w:val="24"/>
          <w:szCs w:val="24"/>
        </w:rPr>
        <w:t xml:space="preserve">possono elaborano specifiche progettualità che sono sottoposte alla valutazione </w:t>
      </w:r>
      <w:r w:rsidR="00F55565" w:rsidRPr="00F55565">
        <w:rPr>
          <w:rFonts w:ascii="Times New Roman" w:hAnsi="Times New Roman"/>
          <w:sz w:val="24"/>
          <w:szCs w:val="24"/>
        </w:rPr>
        <w:t>della fondazione</w:t>
      </w:r>
      <w:r w:rsidR="00F55565">
        <w:rPr>
          <w:rFonts w:ascii="Times New Roman" w:hAnsi="Times New Roman"/>
          <w:sz w:val="24"/>
          <w:szCs w:val="24"/>
        </w:rPr>
        <w:t xml:space="preserve"> </w:t>
      </w:r>
      <w:r w:rsidR="00F55565" w:rsidRPr="00F55565">
        <w:rPr>
          <w:rFonts w:ascii="Times New Roman" w:hAnsi="Times New Roman"/>
          <w:sz w:val="24"/>
          <w:szCs w:val="24"/>
        </w:rPr>
        <w:t xml:space="preserve">Tech e </w:t>
      </w:r>
      <w:proofErr w:type="spellStart"/>
      <w:r w:rsidR="00F55565" w:rsidRPr="00F55565">
        <w:rPr>
          <w:rFonts w:ascii="Times New Roman" w:hAnsi="Times New Roman"/>
          <w:sz w:val="24"/>
          <w:szCs w:val="24"/>
        </w:rPr>
        <w:t>Biomedical</w:t>
      </w:r>
      <w:proofErr w:type="spellEnd"/>
      <w:r w:rsidRPr="001313F4">
        <w:rPr>
          <w:rFonts w:ascii="Times New Roman" w:hAnsi="Times New Roman"/>
          <w:sz w:val="24"/>
          <w:szCs w:val="24"/>
        </w:rPr>
        <w:t xml:space="preserve"> il quale, valutata la coerenza dei progetti con l’atto di indirizzo, assegna, su base annuale e a stati di avanzamento, un budget per la realizzazione dei progetti ritenuti idonei.</w:t>
      </w:r>
    </w:p>
    <w:p w14:paraId="6EEAFA95" w14:textId="136B4FEE" w:rsidR="00C6563B" w:rsidRPr="001313F4" w:rsidRDefault="00C6563B" w:rsidP="00C6563B">
      <w:pPr>
        <w:autoSpaceDE w:val="0"/>
        <w:spacing w:after="60" w:line="276" w:lineRule="auto"/>
        <w:jc w:val="both"/>
        <w:rPr>
          <w:rFonts w:ascii="Times New Roman" w:hAnsi="Times New Roman"/>
          <w:sz w:val="24"/>
          <w:szCs w:val="24"/>
        </w:rPr>
      </w:pPr>
      <w:r w:rsidRPr="001313F4">
        <w:rPr>
          <w:rFonts w:ascii="Times New Roman" w:hAnsi="Times New Roman"/>
          <w:sz w:val="24"/>
          <w:szCs w:val="24"/>
        </w:rPr>
        <w:t xml:space="preserve">Il </w:t>
      </w:r>
      <w:r w:rsidRPr="00104D70">
        <w:rPr>
          <w:rFonts w:ascii="Times New Roman" w:hAnsi="Times New Roman"/>
          <w:b/>
          <w:bCs/>
          <w:sz w:val="24"/>
          <w:szCs w:val="24"/>
        </w:rPr>
        <w:t>comma 6</w:t>
      </w:r>
      <w:r w:rsidRPr="001313F4">
        <w:rPr>
          <w:rFonts w:ascii="Times New Roman" w:hAnsi="Times New Roman"/>
          <w:sz w:val="24"/>
          <w:szCs w:val="24"/>
        </w:rPr>
        <w:t xml:space="preserve"> prevede che </w:t>
      </w:r>
      <w:r w:rsidR="00EC00B6">
        <w:rPr>
          <w:rFonts w:ascii="Times New Roman" w:hAnsi="Times New Roman"/>
        </w:rPr>
        <w:t xml:space="preserve">La </w:t>
      </w:r>
      <w:r w:rsidR="00EC00B6" w:rsidRPr="00BA1A4E">
        <w:rPr>
          <w:rFonts w:ascii="Times New Roman" w:hAnsi="Times New Roman"/>
        </w:rPr>
        <w:t xml:space="preserve">Fondazione Tech e </w:t>
      </w:r>
      <w:proofErr w:type="spellStart"/>
      <w:r w:rsidR="00EC00B6" w:rsidRPr="00BA1A4E">
        <w:rPr>
          <w:rFonts w:ascii="Times New Roman" w:hAnsi="Times New Roman"/>
        </w:rPr>
        <w:t>Biomedical</w:t>
      </w:r>
      <w:proofErr w:type="spellEnd"/>
      <w:r w:rsidR="00EC00B6" w:rsidRPr="00FE7808">
        <w:rPr>
          <w:rFonts w:ascii="Times New Roman" w:hAnsi="Times New Roman"/>
        </w:rPr>
        <w:t xml:space="preserve"> </w:t>
      </w:r>
      <w:r w:rsidRPr="001313F4">
        <w:rPr>
          <w:rFonts w:ascii="Times New Roman" w:hAnsi="Times New Roman"/>
          <w:sz w:val="24"/>
          <w:szCs w:val="24"/>
        </w:rPr>
        <w:t xml:space="preserve">verifica i risultati annuali e gli obiettivi di performance conseguiti dalle singole fondazioni in relazione alla gestione del budget assegnato e ne tiene conto, ove possibile, secondo criteri basati sulla qualità della ricerca, sui risultati del trasferimento tecnologico, sul numero di </w:t>
      </w:r>
      <w:r w:rsidRPr="00F55565">
        <w:rPr>
          <w:rFonts w:ascii="Times New Roman" w:hAnsi="Times New Roman"/>
          <w:i/>
          <w:iCs/>
          <w:sz w:val="24"/>
          <w:szCs w:val="24"/>
        </w:rPr>
        <w:t>spin off</w:t>
      </w:r>
      <w:r w:rsidRPr="001313F4">
        <w:rPr>
          <w:rFonts w:ascii="Times New Roman" w:hAnsi="Times New Roman"/>
          <w:sz w:val="24"/>
          <w:szCs w:val="24"/>
        </w:rPr>
        <w:t xml:space="preserve"> generati e secondo criteri di managerialità e premialità, nella ripartizione del budget per le annualità successive. Il report annuale sull’attività di monitoraggio e verifica dei risultati è trasmesso al Ministero delle imprese e del made in </w:t>
      </w:r>
      <w:proofErr w:type="spellStart"/>
      <w:r w:rsidRPr="001313F4">
        <w:rPr>
          <w:rFonts w:ascii="Times New Roman" w:hAnsi="Times New Roman"/>
          <w:sz w:val="24"/>
          <w:szCs w:val="24"/>
        </w:rPr>
        <w:t>Italy</w:t>
      </w:r>
      <w:proofErr w:type="spellEnd"/>
      <w:r w:rsidR="000352EF">
        <w:rPr>
          <w:rFonts w:ascii="Times New Roman" w:hAnsi="Times New Roman"/>
          <w:sz w:val="24"/>
          <w:szCs w:val="24"/>
        </w:rPr>
        <w:t>, al Ministero dell’università e della ricerca</w:t>
      </w:r>
      <w:r w:rsidRPr="001313F4">
        <w:rPr>
          <w:rFonts w:ascii="Times New Roman" w:hAnsi="Times New Roman"/>
          <w:sz w:val="24"/>
          <w:szCs w:val="24"/>
        </w:rPr>
        <w:t xml:space="preserve"> e alle altre amministrazioni interessate. </w:t>
      </w:r>
    </w:p>
    <w:p w14:paraId="479C26A1" w14:textId="49E041CC" w:rsidR="00C6563B" w:rsidRPr="001313F4" w:rsidRDefault="00C6563B" w:rsidP="00C6563B">
      <w:pPr>
        <w:autoSpaceDE w:val="0"/>
        <w:spacing w:after="60" w:line="276" w:lineRule="auto"/>
        <w:jc w:val="both"/>
        <w:rPr>
          <w:rFonts w:ascii="Times New Roman" w:hAnsi="Times New Roman"/>
          <w:sz w:val="24"/>
          <w:szCs w:val="24"/>
        </w:rPr>
      </w:pPr>
      <w:r w:rsidRPr="001313F4">
        <w:rPr>
          <w:rFonts w:ascii="Times New Roman" w:hAnsi="Times New Roman"/>
          <w:sz w:val="24"/>
          <w:szCs w:val="24"/>
        </w:rPr>
        <w:t xml:space="preserve">I </w:t>
      </w:r>
      <w:r w:rsidRPr="00104D70">
        <w:rPr>
          <w:rFonts w:ascii="Times New Roman" w:hAnsi="Times New Roman"/>
          <w:b/>
          <w:bCs/>
          <w:sz w:val="24"/>
          <w:szCs w:val="24"/>
        </w:rPr>
        <w:t>commi da 7 a 8</w:t>
      </w:r>
      <w:r w:rsidRPr="001313F4">
        <w:rPr>
          <w:rFonts w:ascii="Times New Roman" w:hAnsi="Times New Roman"/>
          <w:sz w:val="24"/>
          <w:szCs w:val="24"/>
        </w:rPr>
        <w:t xml:space="preserve">, considerato il nuovo ruolo che assume la Fondazione Enea tech, oltra alla ridenominazione della stessa di “Tech e </w:t>
      </w:r>
      <w:proofErr w:type="spellStart"/>
      <w:r w:rsidRPr="001313F4">
        <w:rPr>
          <w:rFonts w:ascii="Times New Roman" w:hAnsi="Times New Roman"/>
          <w:sz w:val="24"/>
          <w:szCs w:val="24"/>
        </w:rPr>
        <w:t>Biomedical</w:t>
      </w:r>
      <w:proofErr w:type="spellEnd"/>
      <w:r w:rsidRPr="001313F4">
        <w:rPr>
          <w:rFonts w:ascii="Times New Roman" w:hAnsi="Times New Roman"/>
          <w:sz w:val="24"/>
          <w:szCs w:val="24"/>
        </w:rPr>
        <w:t>”, disciplinano la nuova governance, mentre il comma</w:t>
      </w:r>
      <w:r w:rsidR="006C5476">
        <w:rPr>
          <w:rFonts w:ascii="Times New Roman" w:hAnsi="Times New Roman"/>
          <w:sz w:val="24"/>
          <w:szCs w:val="24"/>
        </w:rPr>
        <w:t xml:space="preserve"> </w:t>
      </w:r>
      <w:r w:rsidRPr="001313F4">
        <w:rPr>
          <w:rFonts w:ascii="Times New Roman" w:hAnsi="Times New Roman"/>
          <w:sz w:val="24"/>
          <w:szCs w:val="24"/>
        </w:rPr>
        <w:t xml:space="preserve">9 prevede che gli organi della fondazione nominati prima della data di entrata in vigore della presente disposizione decadano e restano in carica, per i soli atti di ordinaria amministrazione, fino alla nomina dei nuovi organi. </w:t>
      </w:r>
      <w:bookmarkEnd w:id="4"/>
    </w:p>
    <w:p w14:paraId="1BB54026" w14:textId="556EC5C9" w:rsidR="00913007" w:rsidRPr="00206B4E" w:rsidRDefault="002473D2" w:rsidP="00913007">
      <w:pPr>
        <w:autoSpaceDE w:val="0"/>
        <w:spacing w:after="60" w:line="276" w:lineRule="auto"/>
        <w:jc w:val="both"/>
        <w:rPr>
          <w:rFonts w:ascii="Times New Roman" w:hAnsi="Times New Roman"/>
          <w:sz w:val="24"/>
          <w:szCs w:val="24"/>
        </w:rPr>
      </w:pPr>
      <w:r w:rsidRPr="00206B4E">
        <w:rPr>
          <w:rFonts w:ascii="Times New Roman" w:hAnsi="Times New Roman"/>
          <w:b/>
          <w:bCs/>
          <w:sz w:val="24"/>
          <w:szCs w:val="24"/>
        </w:rPr>
        <w:t xml:space="preserve">L’articolo </w:t>
      </w:r>
      <w:r w:rsidR="00BB460C">
        <w:rPr>
          <w:rFonts w:ascii="Times New Roman" w:hAnsi="Times New Roman"/>
          <w:b/>
          <w:bCs/>
          <w:sz w:val="24"/>
          <w:szCs w:val="24"/>
        </w:rPr>
        <w:t xml:space="preserve">9 </w:t>
      </w:r>
      <w:r w:rsidR="00900872" w:rsidRPr="00206B4E">
        <w:rPr>
          <w:rFonts w:ascii="Times New Roman" w:hAnsi="Times New Roman"/>
          <w:sz w:val="24"/>
          <w:szCs w:val="24"/>
        </w:rPr>
        <w:t xml:space="preserve">interviene in materia di società tra professionisti, </w:t>
      </w:r>
      <w:r w:rsidR="00497D41" w:rsidRPr="00206B4E">
        <w:rPr>
          <w:rFonts w:ascii="Times New Roman" w:hAnsi="Times New Roman"/>
          <w:sz w:val="24"/>
          <w:szCs w:val="24"/>
        </w:rPr>
        <w:t>m</w:t>
      </w:r>
      <w:r w:rsidR="00913007" w:rsidRPr="00206B4E">
        <w:rPr>
          <w:rFonts w:ascii="Times New Roman" w:hAnsi="Times New Roman"/>
          <w:sz w:val="24"/>
          <w:szCs w:val="24"/>
        </w:rPr>
        <w:t>odifica</w:t>
      </w:r>
      <w:r w:rsidR="00497D41" w:rsidRPr="00206B4E">
        <w:rPr>
          <w:rFonts w:ascii="Times New Roman" w:hAnsi="Times New Roman"/>
          <w:sz w:val="24"/>
          <w:szCs w:val="24"/>
        </w:rPr>
        <w:t>ndo</w:t>
      </w:r>
      <w:r w:rsidR="00913007" w:rsidRPr="00206B4E">
        <w:rPr>
          <w:rFonts w:ascii="Times New Roman" w:hAnsi="Times New Roman"/>
          <w:sz w:val="24"/>
          <w:szCs w:val="24"/>
        </w:rPr>
        <w:t xml:space="preserve"> i requisiti previsti nell’articolo 10, comma 4, lett. b), della legge </w:t>
      </w:r>
      <w:r w:rsidR="00BE2BC0">
        <w:rPr>
          <w:rFonts w:ascii="Times New Roman" w:hAnsi="Times New Roman"/>
          <w:sz w:val="24"/>
          <w:szCs w:val="24"/>
        </w:rPr>
        <w:t xml:space="preserve">12 novembre 2011, </w:t>
      </w:r>
      <w:r w:rsidR="00913007" w:rsidRPr="00206B4E">
        <w:rPr>
          <w:rFonts w:ascii="Times New Roman" w:hAnsi="Times New Roman"/>
          <w:sz w:val="24"/>
          <w:szCs w:val="24"/>
        </w:rPr>
        <w:t>n. 183</w:t>
      </w:r>
      <w:r w:rsidR="00BE2BC0">
        <w:rPr>
          <w:rFonts w:ascii="Times New Roman" w:hAnsi="Times New Roman"/>
          <w:sz w:val="24"/>
          <w:szCs w:val="24"/>
        </w:rPr>
        <w:t xml:space="preserve"> </w:t>
      </w:r>
      <w:r w:rsidR="00913007" w:rsidRPr="00206B4E">
        <w:rPr>
          <w:rFonts w:ascii="Times New Roman" w:hAnsi="Times New Roman"/>
          <w:sz w:val="24"/>
          <w:szCs w:val="24"/>
        </w:rPr>
        <w:t>ai fini della costituzione e iscrizione di società tra professionisti</w:t>
      </w:r>
      <w:r w:rsidR="004B3DE0" w:rsidRPr="00206B4E">
        <w:rPr>
          <w:rFonts w:ascii="Times New Roman" w:hAnsi="Times New Roman"/>
          <w:sz w:val="24"/>
          <w:szCs w:val="24"/>
        </w:rPr>
        <w:t xml:space="preserve"> (</w:t>
      </w:r>
      <w:r w:rsidR="005376CB">
        <w:rPr>
          <w:rFonts w:ascii="Times New Roman" w:hAnsi="Times New Roman"/>
          <w:sz w:val="24"/>
          <w:szCs w:val="24"/>
        </w:rPr>
        <w:t>S</w:t>
      </w:r>
      <w:r w:rsidR="00F02045">
        <w:rPr>
          <w:rFonts w:ascii="Times New Roman" w:hAnsi="Times New Roman"/>
          <w:sz w:val="24"/>
          <w:szCs w:val="24"/>
        </w:rPr>
        <w:t>tp</w:t>
      </w:r>
      <w:r w:rsidR="004B3DE0" w:rsidRPr="00206B4E">
        <w:rPr>
          <w:rFonts w:ascii="Times New Roman" w:hAnsi="Times New Roman"/>
          <w:sz w:val="24"/>
          <w:szCs w:val="24"/>
        </w:rPr>
        <w:t>)</w:t>
      </w:r>
      <w:r w:rsidR="00913007" w:rsidRPr="00206B4E">
        <w:rPr>
          <w:rFonts w:ascii="Times New Roman" w:hAnsi="Times New Roman"/>
          <w:sz w:val="24"/>
          <w:szCs w:val="24"/>
        </w:rPr>
        <w:t xml:space="preserve"> nella sezione speciale del relativo Albo professionale</w:t>
      </w:r>
      <w:r w:rsidR="00497D41" w:rsidRPr="00206B4E">
        <w:rPr>
          <w:rFonts w:ascii="Times New Roman" w:hAnsi="Times New Roman"/>
          <w:sz w:val="24"/>
          <w:szCs w:val="24"/>
        </w:rPr>
        <w:t xml:space="preserve">. </w:t>
      </w:r>
    </w:p>
    <w:p w14:paraId="42B4A5A1" w14:textId="6431F43F" w:rsidR="00AD45C7" w:rsidRDefault="00913007" w:rsidP="00913007">
      <w:pPr>
        <w:autoSpaceDE w:val="0"/>
        <w:spacing w:after="60" w:line="276" w:lineRule="auto"/>
        <w:jc w:val="both"/>
        <w:rPr>
          <w:rFonts w:ascii="Times New Roman" w:hAnsi="Times New Roman"/>
          <w:sz w:val="24"/>
          <w:szCs w:val="24"/>
        </w:rPr>
      </w:pPr>
      <w:r w:rsidRPr="00206B4E">
        <w:rPr>
          <w:rFonts w:ascii="Times New Roman" w:hAnsi="Times New Roman"/>
          <w:sz w:val="24"/>
          <w:szCs w:val="24"/>
        </w:rPr>
        <w:t xml:space="preserve">La proposta recepisce una segnalazione </w:t>
      </w:r>
      <w:r w:rsidR="002A10C5" w:rsidRPr="00206B4E">
        <w:rPr>
          <w:rFonts w:ascii="Times New Roman" w:hAnsi="Times New Roman"/>
          <w:sz w:val="24"/>
          <w:szCs w:val="24"/>
        </w:rPr>
        <w:t>dell'</w:t>
      </w:r>
      <w:r w:rsidR="00CD1C5B" w:rsidRPr="00206B4E">
        <w:rPr>
          <w:rFonts w:ascii="Times New Roman" w:hAnsi="Times New Roman"/>
          <w:sz w:val="24"/>
          <w:szCs w:val="24"/>
        </w:rPr>
        <w:t>AGCM</w:t>
      </w:r>
      <w:r w:rsidRPr="00206B4E">
        <w:rPr>
          <w:rFonts w:ascii="Times New Roman" w:hAnsi="Times New Roman"/>
          <w:sz w:val="24"/>
          <w:szCs w:val="24"/>
        </w:rPr>
        <w:t xml:space="preserve"> del 12 giugno 2019 </w:t>
      </w:r>
      <w:r w:rsidR="00834CB3" w:rsidRPr="00206B4E">
        <w:rPr>
          <w:rFonts w:ascii="Times New Roman" w:hAnsi="Times New Roman"/>
          <w:sz w:val="24"/>
          <w:szCs w:val="24"/>
        </w:rPr>
        <w:t>(</w:t>
      </w:r>
      <w:r w:rsidRPr="00206B4E">
        <w:rPr>
          <w:rFonts w:ascii="Times New Roman" w:hAnsi="Times New Roman"/>
          <w:sz w:val="24"/>
          <w:szCs w:val="24"/>
        </w:rPr>
        <w:t>AS1589B</w:t>
      </w:r>
      <w:r w:rsidR="00834CB3" w:rsidRPr="00206B4E">
        <w:rPr>
          <w:rFonts w:ascii="Times New Roman" w:hAnsi="Times New Roman"/>
          <w:sz w:val="24"/>
          <w:szCs w:val="24"/>
        </w:rPr>
        <w:t>)</w:t>
      </w:r>
      <w:r w:rsidR="00AD45C7">
        <w:rPr>
          <w:rFonts w:ascii="Times New Roman" w:hAnsi="Times New Roman"/>
          <w:sz w:val="24"/>
          <w:szCs w:val="24"/>
        </w:rPr>
        <w:t xml:space="preserve"> -</w:t>
      </w:r>
      <w:r w:rsidRPr="00206B4E">
        <w:rPr>
          <w:rFonts w:ascii="Times New Roman" w:hAnsi="Times New Roman"/>
          <w:sz w:val="24"/>
          <w:szCs w:val="24"/>
        </w:rPr>
        <w:t xml:space="preserve"> </w:t>
      </w:r>
      <w:r w:rsidR="00AD45C7">
        <w:rPr>
          <w:rFonts w:ascii="Times New Roman" w:hAnsi="Times New Roman"/>
          <w:sz w:val="24"/>
          <w:szCs w:val="24"/>
        </w:rPr>
        <w:t xml:space="preserve">risalente nel tempo ma ancora attuale e significativa in ragione anche dello stato della giurisprudenza - </w:t>
      </w:r>
      <w:r w:rsidRPr="00206B4E">
        <w:rPr>
          <w:rFonts w:ascii="Times New Roman" w:hAnsi="Times New Roman"/>
          <w:sz w:val="24"/>
          <w:szCs w:val="24"/>
        </w:rPr>
        <w:t>ove viene evidenziata l’esistenza di interpretazioni divergenti da parte di Consigli e/o Federazioni di Ordini professionali in relazione ai requisiti di partecipazione</w:t>
      </w:r>
      <w:r w:rsidR="005376CB">
        <w:rPr>
          <w:rFonts w:ascii="Times New Roman" w:hAnsi="Times New Roman"/>
          <w:sz w:val="24"/>
          <w:szCs w:val="24"/>
        </w:rPr>
        <w:t xml:space="preserve"> per assumere la qualifica di S</w:t>
      </w:r>
      <w:r w:rsidR="00F02045">
        <w:rPr>
          <w:rFonts w:ascii="Times New Roman" w:hAnsi="Times New Roman"/>
          <w:sz w:val="24"/>
          <w:szCs w:val="24"/>
        </w:rPr>
        <w:t>tp</w:t>
      </w:r>
      <w:r w:rsidR="00A175ED" w:rsidRPr="00206B4E">
        <w:rPr>
          <w:rFonts w:ascii="Times New Roman" w:hAnsi="Times New Roman"/>
          <w:sz w:val="24"/>
          <w:szCs w:val="24"/>
        </w:rPr>
        <w:t xml:space="preserve"> (maggioranza dei due terzi in termini di numero di soci professionisti e di partecipazione al capitale sociale)</w:t>
      </w:r>
      <w:r w:rsidR="00AD45C7">
        <w:rPr>
          <w:rFonts w:ascii="Times New Roman" w:hAnsi="Times New Roman"/>
          <w:sz w:val="24"/>
          <w:szCs w:val="24"/>
        </w:rPr>
        <w:t>.</w:t>
      </w:r>
    </w:p>
    <w:p w14:paraId="0793EDBA" w14:textId="61C58EE4" w:rsidR="00913007" w:rsidRPr="00206B4E" w:rsidRDefault="00AD45C7" w:rsidP="00913007">
      <w:pPr>
        <w:autoSpaceDE w:val="0"/>
        <w:spacing w:after="60" w:line="276" w:lineRule="auto"/>
        <w:jc w:val="both"/>
        <w:rPr>
          <w:rFonts w:ascii="Times New Roman" w:hAnsi="Times New Roman"/>
          <w:sz w:val="24"/>
          <w:szCs w:val="24"/>
        </w:rPr>
      </w:pPr>
      <w:r>
        <w:rPr>
          <w:rFonts w:ascii="Times New Roman" w:hAnsi="Times New Roman"/>
          <w:sz w:val="24"/>
          <w:szCs w:val="24"/>
        </w:rPr>
        <w:t>Ed invero,</w:t>
      </w:r>
      <w:r w:rsidR="00C93B15" w:rsidRPr="00206B4E">
        <w:rPr>
          <w:rFonts w:ascii="Times New Roman" w:hAnsi="Times New Roman"/>
          <w:sz w:val="24"/>
          <w:szCs w:val="24"/>
        </w:rPr>
        <w:t xml:space="preserve"> taluni Ordini professionali </w:t>
      </w:r>
      <w:r w:rsidR="004B3DE0" w:rsidRPr="00206B4E">
        <w:rPr>
          <w:rFonts w:ascii="Times New Roman" w:hAnsi="Times New Roman"/>
          <w:sz w:val="24"/>
          <w:szCs w:val="24"/>
        </w:rPr>
        <w:t>adottano</w:t>
      </w:r>
      <w:r w:rsidR="00C93B15" w:rsidRPr="00206B4E">
        <w:rPr>
          <w:rFonts w:ascii="Times New Roman" w:hAnsi="Times New Roman"/>
          <w:sz w:val="24"/>
          <w:szCs w:val="24"/>
        </w:rPr>
        <w:t xml:space="preserve"> un'interpretazione in base alla quale i due requisiti di partecipazione alla Stp devono ricorrere cumulativamente, a prescindere da chi esercita l'effettivo </w:t>
      </w:r>
      <w:r w:rsidR="00C93B15" w:rsidRPr="00206B4E">
        <w:rPr>
          <w:rFonts w:ascii="Times New Roman" w:hAnsi="Times New Roman"/>
          <w:sz w:val="24"/>
          <w:szCs w:val="24"/>
        </w:rPr>
        <w:lastRenderedPageBreak/>
        <w:t>controllo sulla società; altri Ordini professionali propongono, invece, una interpretazione secondo la quale i due requisiti non devono ricorrere cumulativamente, poiché l'autonomia statuaria e la possibilità di stipulare dei patti parasociali prevista dal diritto societario vigente consentono di assicurare il controllo sulle decisioni strategiche della Stp da parte dei soci professionisti a prescindere dal loro numero e dalla loro partecipazione al capitale sociale rispetto ai soci non professionisti.</w:t>
      </w:r>
    </w:p>
    <w:p w14:paraId="768D8203" w14:textId="48C6F4E7" w:rsidR="00A0769F" w:rsidRPr="00206B4E" w:rsidRDefault="0047772E" w:rsidP="00913007">
      <w:pPr>
        <w:autoSpaceDE w:val="0"/>
        <w:spacing w:after="60" w:line="276" w:lineRule="auto"/>
        <w:jc w:val="both"/>
        <w:rPr>
          <w:rFonts w:ascii="Times New Roman" w:hAnsi="Times New Roman"/>
          <w:sz w:val="24"/>
          <w:szCs w:val="24"/>
        </w:rPr>
      </w:pPr>
      <w:r w:rsidRPr="00206B4E">
        <w:rPr>
          <w:rFonts w:ascii="Times New Roman" w:hAnsi="Times New Roman"/>
          <w:sz w:val="24"/>
          <w:szCs w:val="24"/>
        </w:rPr>
        <w:t>Secondo l'A</w:t>
      </w:r>
      <w:r w:rsidR="00034766">
        <w:rPr>
          <w:rFonts w:ascii="Times New Roman" w:hAnsi="Times New Roman"/>
          <w:sz w:val="24"/>
          <w:szCs w:val="24"/>
        </w:rPr>
        <w:t>GCM</w:t>
      </w:r>
      <w:r w:rsidRPr="00206B4E">
        <w:rPr>
          <w:rFonts w:ascii="Times New Roman" w:hAnsi="Times New Roman"/>
          <w:sz w:val="24"/>
          <w:szCs w:val="24"/>
        </w:rPr>
        <w:t>,</w:t>
      </w:r>
      <w:r w:rsidR="00C555C8" w:rsidRPr="00206B4E">
        <w:rPr>
          <w:rFonts w:ascii="Times New Roman" w:hAnsi="Times New Roman"/>
          <w:sz w:val="24"/>
          <w:szCs w:val="24"/>
        </w:rPr>
        <w:t xml:space="preserve"> </w:t>
      </w:r>
      <w:r w:rsidR="009B7B5C" w:rsidRPr="00206B4E">
        <w:rPr>
          <w:rFonts w:ascii="Times New Roman" w:hAnsi="Times New Roman"/>
          <w:sz w:val="24"/>
          <w:szCs w:val="24"/>
        </w:rPr>
        <w:t>la prima interpretazione</w:t>
      </w:r>
      <w:r w:rsidRPr="00206B4E">
        <w:rPr>
          <w:rFonts w:ascii="Times New Roman" w:hAnsi="Times New Roman"/>
          <w:sz w:val="24"/>
          <w:szCs w:val="24"/>
        </w:rPr>
        <w:t xml:space="preserve"> </w:t>
      </w:r>
      <w:r w:rsidR="006C7C99">
        <w:rPr>
          <w:rFonts w:ascii="Times New Roman" w:hAnsi="Times New Roman"/>
          <w:sz w:val="24"/>
          <w:szCs w:val="24"/>
        </w:rPr>
        <w:t>riduce</w:t>
      </w:r>
      <w:r w:rsidRPr="00206B4E">
        <w:rPr>
          <w:rFonts w:ascii="Times New Roman" w:hAnsi="Times New Roman"/>
          <w:sz w:val="24"/>
          <w:szCs w:val="24"/>
        </w:rPr>
        <w:t xml:space="preserve"> l'efficacia dello strumento societario ora disponibile per i professionisti, restringendone ingiustificatamente la diffusione</w:t>
      </w:r>
      <w:r w:rsidR="00A43718" w:rsidRPr="00206B4E">
        <w:rPr>
          <w:rFonts w:ascii="Times New Roman" w:hAnsi="Times New Roman"/>
          <w:sz w:val="24"/>
          <w:szCs w:val="24"/>
        </w:rPr>
        <w:t>.</w:t>
      </w:r>
      <w:r w:rsidRPr="00206B4E">
        <w:rPr>
          <w:rFonts w:ascii="Times New Roman" w:hAnsi="Times New Roman"/>
          <w:sz w:val="24"/>
          <w:szCs w:val="24"/>
        </w:rPr>
        <w:t xml:space="preserve"> </w:t>
      </w:r>
    </w:p>
    <w:p w14:paraId="23F7C1FF" w14:textId="429295CE" w:rsidR="00913007" w:rsidRPr="00206B4E" w:rsidRDefault="00C74F4C" w:rsidP="00913007">
      <w:pPr>
        <w:autoSpaceDE w:val="0"/>
        <w:spacing w:after="60" w:line="276" w:lineRule="auto"/>
        <w:jc w:val="both"/>
        <w:rPr>
          <w:rFonts w:ascii="Times New Roman" w:hAnsi="Times New Roman"/>
          <w:sz w:val="24"/>
          <w:szCs w:val="24"/>
        </w:rPr>
      </w:pPr>
      <w:r w:rsidRPr="00206B4E">
        <w:rPr>
          <w:rFonts w:ascii="Times New Roman" w:hAnsi="Times New Roman"/>
          <w:sz w:val="24"/>
          <w:szCs w:val="24"/>
        </w:rPr>
        <w:t>A</w:t>
      </w:r>
      <w:r w:rsidR="0047772E" w:rsidRPr="00206B4E">
        <w:rPr>
          <w:rFonts w:ascii="Times New Roman" w:hAnsi="Times New Roman"/>
          <w:sz w:val="24"/>
          <w:szCs w:val="24"/>
        </w:rPr>
        <w:t>l fine</w:t>
      </w:r>
      <w:r w:rsidR="004E48B0" w:rsidRPr="00206B4E">
        <w:rPr>
          <w:rFonts w:ascii="Times New Roman" w:hAnsi="Times New Roman"/>
          <w:sz w:val="24"/>
          <w:szCs w:val="24"/>
        </w:rPr>
        <w:t xml:space="preserve">, quindi, </w:t>
      </w:r>
      <w:r w:rsidR="0047772E" w:rsidRPr="00206B4E">
        <w:rPr>
          <w:rFonts w:ascii="Times New Roman" w:hAnsi="Times New Roman"/>
          <w:sz w:val="24"/>
          <w:szCs w:val="24"/>
        </w:rPr>
        <w:t xml:space="preserve">di consentire ai professionisti di cogliere appieno le opportunità offerte dalla normativa in materia di Stp e le relative spinte pro-concorrenziali, </w:t>
      </w:r>
      <w:r w:rsidR="006A04F1">
        <w:rPr>
          <w:rFonts w:ascii="Times New Roman" w:hAnsi="Times New Roman"/>
          <w:sz w:val="24"/>
          <w:szCs w:val="24"/>
        </w:rPr>
        <w:t xml:space="preserve">risolvendo questioni che hanno anche generato un diffuso contezioso di carattere interpretativo, la disposizione prevede che </w:t>
      </w:r>
      <w:r w:rsidR="006A04F1" w:rsidRPr="00120D30">
        <w:rPr>
          <w:rFonts w:ascii="Times New Roman" w:hAnsi="Times New Roman"/>
          <w:sz w:val="24"/>
          <w:szCs w:val="24"/>
        </w:rPr>
        <w:t xml:space="preserve">la partecipazione sociale dei professionisti deve essere tale da assicurare a questi ultimi la possibilità di determinare la maggioranza dei due terzi nelle deliberazioni o decisioni, tenuto conto delle regole stabilite per il modello societario prescelto per la costituzione della società. </w:t>
      </w:r>
      <w:r w:rsidR="000352EF">
        <w:rPr>
          <w:rFonts w:ascii="Times New Roman" w:hAnsi="Times New Roman"/>
          <w:sz w:val="24"/>
          <w:szCs w:val="24"/>
        </w:rPr>
        <w:t xml:space="preserve">Vengono fatte salve disposizioni speciali </w:t>
      </w:r>
      <w:r w:rsidR="00C8119D">
        <w:rPr>
          <w:rFonts w:ascii="Times New Roman" w:hAnsi="Times New Roman"/>
          <w:sz w:val="24"/>
          <w:szCs w:val="24"/>
        </w:rPr>
        <w:t xml:space="preserve">di rango primario </w:t>
      </w:r>
      <w:r w:rsidR="000352EF">
        <w:rPr>
          <w:rFonts w:ascii="Times New Roman" w:hAnsi="Times New Roman"/>
          <w:sz w:val="24"/>
          <w:szCs w:val="24"/>
        </w:rPr>
        <w:t xml:space="preserve">dettate dagli ordinamenti di singole professioni. </w:t>
      </w:r>
    </w:p>
    <w:p w14:paraId="16E6863B" w14:textId="77777777" w:rsidR="003778F2" w:rsidRPr="00206B4E" w:rsidRDefault="003778F2" w:rsidP="007B6A19">
      <w:pPr>
        <w:autoSpaceDE w:val="0"/>
        <w:spacing w:after="60" w:line="276" w:lineRule="auto"/>
        <w:rPr>
          <w:rFonts w:ascii="Times New Roman" w:hAnsi="Times New Roman"/>
          <w:b/>
          <w:bCs/>
          <w:sz w:val="24"/>
          <w:szCs w:val="24"/>
        </w:rPr>
      </w:pPr>
    </w:p>
    <w:bookmarkEnd w:id="1"/>
    <w:p w14:paraId="6666D093" w14:textId="77777777" w:rsidR="003E3896" w:rsidRPr="00206B4E" w:rsidRDefault="003E3896" w:rsidP="00E60662">
      <w:pPr>
        <w:spacing w:after="60" w:line="276" w:lineRule="auto"/>
        <w:rPr>
          <w:rFonts w:ascii="Times New Roman" w:hAnsi="Times New Roman"/>
          <w:b/>
          <w:bCs/>
          <w:sz w:val="24"/>
          <w:szCs w:val="24"/>
        </w:rPr>
      </w:pPr>
    </w:p>
    <w:p w14:paraId="7BF3CC40" w14:textId="77777777" w:rsidR="00ED065C" w:rsidRPr="00206B4E" w:rsidRDefault="00ED065C" w:rsidP="00746C3F">
      <w:pPr>
        <w:spacing w:after="60" w:line="276" w:lineRule="auto"/>
        <w:jc w:val="both"/>
        <w:rPr>
          <w:rFonts w:ascii="Times New Roman" w:hAnsi="Times New Roman"/>
          <w:sz w:val="24"/>
          <w:szCs w:val="24"/>
        </w:rPr>
      </w:pPr>
    </w:p>
    <w:p w14:paraId="08238C92" w14:textId="77777777" w:rsidR="00ED065C" w:rsidRPr="00206B4E" w:rsidRDefault="00ED065C" w:rsidP="00746C3F">
      <w:pPr>
        <w:spacing w:after="60" w:line="276" w:lineRule="auto"/>
        <w:jc w:val="both"/>
        <w:rPr>
          <w:rFonts w:ascii="Times New Roman" w:hAnsi="Times New Roman"/>
          <w:sz w:val="24"/>
          <w:szCs w:val="24"/>
        </w:rPr>
      </w:pPr>
    </w:p>
    <w:p w14:paraId="6C3B1D9B" w14:textId="77777777" w:rsidR="00ED065C" w:rsidRPr="00206B4E" w:rsidRDefault="00ED065C" w:rsidP="00746C3F">
      <w:pPr>
        <w:spacing w:after="60" w:line="276" w:lineRule="auto"/>
        <w:rPr>
          <w:rFonts w:ascii="Times New Roman" w:hAnsi="Times New Roman"/>
          <w:sz w:val="24"/>
          <w:szCs w:val="24"/>
        </w:rPr>
      </w:pPr>
    </w:p>
    <w:sectPr w:rsidR="00ED065C" w:rsidRPr="00206B4E">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46806" w14:textId="77777777" w:rsidR="004D2446" w:rsidRDefault="004D2446">
      <w:pPr>
        <w:spacing w:after="0" w:line="240" w:lineRule="auto"/>
      </w:pPr>
      <w:r>
        <w:separator/>
      </w:r>
    </w:p>
  </w:endnote>
  <w:endnote w:type="continuationSeparator" w:id="0">
    <w:p w14:paraId="690FBD7B" w14:textId="77777777" w:rsidR="004D2446" w:rsidRDefault="004D2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796B" w14:textId="09950738" w:rsidR="00117C24" w:rsidRDefault="00117C24">
    <w:pPr>
      <w:pStyle w:val="Pidipagina"/>
    </w:pPr>
    <w:r>
      <w:rPr>
        <w:noProof/>
      </w:rPr>
      <mc:AlternateContent>
        <mc:Choice Requires="wps">
          <w:drawing>
            <wp:anchor distT="0" distB="0" distL="0" distR="0" simplePos="0" relativeHeight="251657216" behindDoc="0" locked="0" layoutInCell="1" allowOverlap="1" wp14:anchorId="35429628" wp14:editId="65F07E4C">
              <wp:simplePos x="635" y="635"/>
              <wp:positionH relativeFrom="page">
                <wp:align>center</wp:align>
              </wp:positionH>
              <wp:positionV relativeFrom="page">
                <wp:align>bottom</wp:align>
              </wp:positionV>
              <wp:extent cx="864235" cy="323850"/>
              <wp:effectExtent l="0" t="0" r="12065" b="0"/>
              <wp:wrapNone/>
              <wp:docPr id="1662090802" name="Casella di testo 2"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23850"/>
                      </a:xfrm>
                      <a:prstGeom prst="rect">
                        <a:avLst/>
                      </a:prstGeom>
                      <a:noFill/>
                      <a:ln>
                        <a:noFill/>
                      </a:ln>
                    </wps:spPr>
                    <wps:txbx>
                      <w:txbxContent>
                        <w:p w14:paraId="4D63876F" w14:textId="7E4F8CC8" w:rsidR="00117C24" w:rsidRPr="00117C24" w:rsidRDefault="00117C24" w:rsidP="00117C24">
                          <w:pPr>
                            <w:spacing w:after="0"/>
                            <w:rPr>
                              <w:rFonts w:ascii="Arial" w:eastAsia="Arial" w:hAnsi="Arial" w:cs="Arial"/>
                              <w:noProof/>
                              <w:color w:val="737373"/>
                              <w:sz w:val="18"/>
                              <w:szCs w:val="18"/>
                            </w:rPr>
                          </w:pPr>
                          <w:r w:rsidRPr="00117C24">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429628" id="_x0000_t202" coordsize="21600,21600" o:spt="202" path="m,l,21600r21600,l21600,xe">
              <v:stroke joinstyle="miter"/>
              <v:path gradientshapeok="t" o:connecttype="rect"/>
            </v:shapetype>
            <v:shape id="Casella di testo 2" o:spid="_x0000_s1026" type="#_x0000_t202" alt="Interno – Internal" style="position:absolute;margin-left:0;margin-top:0;width:68.05pt;height:25.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" filled="f" stroked="f">
              <v:fill o:detectmouseclick="t"/>
              <v:textbox style="mso-fit-shape-to-text:t" inset="0,0,0,15pt">
                <w:txbxContent>
                  <w:p w14:paraId="4D63876F" w14:textId="7E4F8CC8" w:rsidR="00117C24" w:rsidRPr="00117C24" w:rsidRDefault="00117C24" w:rsidP="00117C24">
                    <w:pPr>
                      <w:spacing w:after="0"/>
                      <w:rPr>
                        <w:rFonts w:ascii="Arial" w:eastAsia="Arial" w:hAnsi="Arial" w:cs="Arial"/>
                        <w:noProof/>
                        <w:color w:val="737373"/>
                        <w:sz w:val="18"/>
                        <w:szCs w:val="18"/>
                      </w:rPr>
                    </w:pPr>
                    <w:r w:rsidRPr="00117C24">
                      <w:rPr>
                        <w:rFonts w:ascii="Arial" w:eastAsia="Arial" w:hAnsi="Arial" w:cs="Arial"/>
                        <w:noProof/>
                        <w:color w:val="737373"/>
                        <w:sz w:val="18"/>
                        <w:szCs w:val="18"/>
                      </w:rPr>
                      <w:t>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6915" w14:textId="2A0328B4" w:rsidR="002B776D" w:rsidRDefault="00117C24">
    <w:pPr>
      <w:widowControl w:val="0"/>
      <w:autoSpaceDE w:val="0"/>
      <w:adjustRightInd w:val="0"/>
      <w:spacing w:after="0" w:line="200" w:lineRule="exact"/>
      <w:rPr>
        <w:rFonts w:ascii="Times New Roman" w:hAnsi="Times New Roman"/>
        <w:kern w:val="0"/>
        <w:sz w:val="20"/>
        <w:szCs w:val="20"/>
      </w:rPr>
    </w:pPr>
    <w:r>
      <w:rPr>
        <w:noProof/>
      </w:rPr>
      <mc:AlternateContent>
        <mc:Choice Requires="wps">
          <w:drawing>
            <wp:anchor distT="0" distB="0" distL="0" distR="0" simplePos="0" relativeHeight="251658240" behindDoc="0" locked="0" layoutInCell="1" allowOverlap="1" wp14:anchorId="563D42A7" wp14:editId="1AF0FD3A">
              <wp:simplePos x="723900" y="10109200"/>
              <wp:positionH relativeFrom="page">
                <wp:align>center</wp:align>
              </wp:positionH>
              <wp:positionV relativeFrom="page">
                <wp:align>bottom</wp:align>
              </wp:positionV>
              <wp:extent cx="864235" cy="323850"/>
              <wp:effectExtent l="0" t="0" r="12065" b="0"/>
              <wp:wrapNone/>
              <wp:docPr id="1820720089" name="Casella di testo 3"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23850"/>
                      </a:xfrm>
                      <a:prstGeom prst="rect">
                        <a:avLst/>
                      </a:prstGeom>
                      <a:noFill/>
                      <a:ln>
                        <a:noFill/>
                      </a:ln>
                    </wps:spPr>
                    <wps:txbx>
                      <w:txbxContent>
                        <w:p w14:paraId="3080593F" w14:textId="46EC95D6" w:rsidR="00117C24" w:rsidRPr="00117C24" w:rsidRDefault="00117C24" w:rsidP="00117C24">
                          <w:pPr>
                            <w:spacing w:after="0"/>
                            <w:rPr>
                              <w:rFonts w:ascii="Arial" w:eastAsia="Arial" w:hAnsi="Arial" w:cs="Arial"/>
                              <w:noProof/>
                              <w:color w:val="737373"/>
                              <w:sz w:val="18"/>
                              <w:szCs w:val="18"/>
                            </w:rPr>
                          </w:pPr>
                          <w:r w:rsidRPr="00117C24">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3D42A7" id="_x0000_t202" coordsize="21600,21600" o:spt="202" path="m,l,21600r21600,l21600,xe">
              <v:stroke joinstyle="miter"/>
              <v:path gradientshapeok="t" o:connecttype="rect"/>
            </v:shapetype>
            <v:shape id="Casella di testo 3" o:spid="_x0000_s1027" type="#_x0000_t202" alt="Interno – Internal" style="position:absolute;margin-left:0;margin-top:0;width:68.05pt;height:25.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" filled="f" stroked="f">
              <v:fill o:detectmouseclick="t"/>
              <v:textbox style="mso-fit-shape-to-text:t" inset="0,0,0,15pt">
                <w:txbxContent>
                  <w:p w14:paraId="3080593F" w14:textId="46EC95D6" w:rsidR="00117C24" w:rsidRPr="00117C24" w:rsidRDefault="00117C24" w:rsidP="00117C24">
                    <w:pPr>
                      <w:spacing w:after="0"/>
                      <w:rPr>
                        <w:rFonts w:ascii="Arial" w:eastAsia="Arial" w:hAnsi="Arial" w:cs="Arial"/>
                        <w:noProof/>
                        <w:color w:val="737373"/>
                        <w:sz w:val="18"/>
                        <w:szCs w:val="18"/>
                      </w:rPr>
                    </w:pPr>
                    <w:r w:rsidRPr="00117C24">
                      <w:rPr>
                        <w:rFonts w:ascii="Arial" w:eastAsia="Arial" w:hAnsi="Arial" w:cs="Arial"/>
                        <w:noProof/>
                        <w:color w:val="737373"/>
                        <w:sz w:val="18"/>
                        <w:szCs w:val="18"/>
                      </w:rPr>
                      <w:t>Interno – Internal</w:t>
                    </w:r>
                  </w:p>
                </w:txbxContent>
              </v:textbox>
              <w10:wrap anchorx="page" anchory="page"/>
            </v:shape>
          </w:pict>
        </mc:Fallback>
      </mc:AlternateContent>
    </w:r>
    <w:r w:rsidR="004D2446">
      <w:rPr>
        <w:noProof/>
      </w:rPr>
      <w:pict w14:anchorId="578CB366">
        <v:shapetype id="_x0000_t202" coordsize="21600,21600" o:spt="202" path="m,l,21600r21600,l21600,xe">
          <v:stroke joinstyle="miter"/>
          <v:path gradientshapeok="t" o:connecttype="rect"/>
        </v:shapetype>
        <v:shape id="_x0000_s1026" type="#_x0000_t202" alt="" style="position:absolute;margin-left:293.65pt;margin-top:758.2pt;width:17pt;height:16.7pt;z-index:-251657216;mso-wrap-style:square;mso-wrap-edited:f;mso-width-percent:0;mso-height-percent:0;mso-position-horizontal-relative:page;mso-position-vertical-relative:page;mso-width-percent:0;mso-height-percent:0;v-text-anchor:top" o:allowincell="f" filled="f" stroked="f">
          <v:textbox style="mso-next-textbox:#_x0000_s1026" inset="0,0,0,0">
            <w:txbxContent>
              <w:p w14:paraId="4BCB283F" w14:textId="77777777" w:rsidR="002B776D" w:rsidRDefault="002B776D">
                <w:pPr>
                  <w:widowControl w:val="0"/>
                  <w:autoSpaceDE w:val="0"/>
                  <w:adjustRightInd w:val="0"/>
                  <w:spacing w:before="83" w:after="0" w:line="240" w:lineRule="auto"/>
                  <w:ind w:left="40" w:right="-20"/>
                  <w:rPr>
                    <w:rFonts w:ascii="Courier New" w:hAnsi="Courier New" w:cs="Courier New"/>
                    <w:color w:val="000000"/>
                    <w:kern w:val="0"/>
                    <w:sz w:val="21"/>
                    <w:szCs w:val="21"/>
                  </w:rPr>
                </w:pPr>
                <w:r>
                  <w:rPr>
                    <w:rFonts w:ascii="Courier New" w:hAnsi="Courier New" w:cs="Courier New"/>
                    <w:color w:val="66757E"/>
                    <w:kern w:val="0"/>
                    <w:sz w:val="21"/>
                    <w:szCs w:val="21"/>
                  </w:rPr>
                  <w:fldChar w:fldCharType="begin"/>
                </w:r>
                <w:r>
                  <w:rPr>
                    <w:rFonts w:ascii="Courier New" w:hAnsi="Courier New" w:cs="Courier New"/>
                    <w:color w:val="66757E"/>
                    <w:kern w:val="0"/>
                    <w:sz w:val="21"/>
                    <w:szCs w:val="21"/>
                  </w:rPr>
                  <w:instrText xml:space="preserve"> PAGE </w:instrText>
                </w:r>
                <w:r>
                  <w:rPr>
                    <w:rFonts w:ascii="Courier New" w:hAnsi="Courier New" w:cs="Courier New"/>
                    <w:color w:val="66757E"/>
                    <w:kern w:val="0"/>
                    <w:sz w:val="21"/>
                    <w:szCs w:val="21"/>
                  </w:rPr>
                  <w:fldChar w:fldCharType="separate"/>
                </w:r>
                <w:r>
                  <w:rPr>
                    <w:rFonts w:ascii="Courier New" w:hAnsi="Courier New" w:cs="Courier New"/>
                    <w:noProof/>
                    <w:color w:val="66757E"/>
                    <w:kern w:val="0"/>
                    <w:sz w:val="21"/>
                    <w:szCs w:val="21"/>
                  </w:rPr>
                  <w:t>23</w:t>
                </w:r>
                <w:r>
                  <w:rPr>
                    <w:rFonts w:ascii="Courier New" w:hAnsi="Courier New" w:cs="Courier New"/>
                    <w:color w:val="66757E"/>
                    <w:kern w:val="0"/>
                    <w:sz w:val="21"/>
                    <w:szCs w:val="21"/>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9B8A" w14:textId="4F6D2CA3" w:rsidR="00117C24" w:rsidRDefault="00117C24">
    <w:pPr>
      <w:pStyle w:val="Pidipagina"/>
    </w:pPr>
    <w:r>
      <w:rPr>
        <w:noProof/>
      </w:rPr>
      <mc:AlternateContent>
        <mc:Choice Requires="wps">
          <w:drawing>
            <wp:anchor distT="0" distB="0" distL="0" distR="0" simplePos="0" relativeHeight="251656192" behindDoc="0" locked="0" layoutInCell="1" allowOverlap="1" wp14:anchorId="2A564E85" wp14:editId="1F264AA8">
              <wp:simplePos x="635" y="635"/>
              <wp:positionH relativeFrom="page">
                <wp:align>center</wp:align>
              </wp:positionH>
              <wp:positionV relativeFrom="page">
                <wp:align>bottom</wp:align>
              </wp:positionV>
              <wp:extent cx="864235" cy="323850"/>
              <wp:effectExtent l="0" t="0" r="12065" b="0"/>
              <wp:wrapNone/>
              <wp:docPr id="404315100" name="Casella di testo 1"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23850"/>
                      </a:xfrm>
                      <a:prstGeom prst="rect">
                        <a:avLst/>
                      </a:prstGeom>
                      <a:noFill/>
                      <a:ln>
                        <a:noFill/>
                      </a:ln>
                    </wps:spPr>
                    <wps:txbx>
                      <w:txbxContent>
                        <w:p w14:paraId="736569E5" w14:textId="149C66A9" w:rsidR="00117C24" w:rsidRPr="00117C24" w:rsidRDefault="00117C24" w:rsidP="00117C24">
                          <w:pPr>
                            <w:spacing w:after="0"/>
                            <w:rPr>
                              <w:rFonts w:ascii="Arial" w:eastAsia="Arial" w:hAnsi="Arial" w:cs="Arial"/>
                              <w:noProof/>
                              <w:color w:val="737373"/>
                              <w:sz w:val="18"/>
                              <w:szCs w:val="18"/>
                            </w:rPr>
                          </w:pPr>
                          <w:r w:rsidRPr="00117C24">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564E85" id="_x0000_t202" coordsize="21600,21600" o:spt="202" path="m,l,21600r21600,l21600,xe">
              <v:stroke joinstyle="miter"/>
              <v:path gradientshapeok="t" o:connecttype="rect"/>
            </v:shapetype>
            <v:shape id="Casella di testo 1" o:spid="_x0000_s1028" type="#_x0000_t202" alt="Interno – Internal" style="position:absolute;margin-left:0;margin-top:0;width:68.05pt;height:25.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" filled="f" stroked="f">
              <v:fill o:detectmouseclick="t"/>
              <v:textbox style="mso-fit-shape-to-text:t" inset="0,0,0,15pt">
                <w:txbxContent>
                  <w:p w14:paraId="736569E5" w14:textId="149C66A9" w:rsidR="00117C24" w:rsidRPr="00117C24" w:rsidRDefault="00117C24" w:rsidP="00117C24">
                    <w:pPr>
                      <w:spacing w:after="0"/>
                      <w:rPr>
                        <w:rFonts w:ascii="Arial" w:eastAsia="Arial" w:hAnsi="Arial" w:cs="Arial"/>
                        <w:noProof/>
                        <w:color w:val="737373"/>
                        <w:sz w:val="18"/>
                        <w:szCs w:val="18"/>
                      </w:rPr>
                    </w:pPr>
                    <w:r w:rsidRPr="00117C24">
                      <w:rPr>
                        <w:rFonts w:ascii="Arial" w:eastAsia="Arial" w:hAnsi="Arial" w:cs="Arial"/>
                        <w:noProof/>
                        <w:color w:val="737373"/>
                        <w:sz w:val="18"/>
                        <w:szCs w:val="18"/>
                      </w:rPr>
                      <w:t>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3D62" w14:textId="77777777" w:rsidR="004D2446" w:rsidRDefault="004D2446">
      <w:pPr>
        <w:spacing w:after="0" w:line="240" w:lineRule="auto"/>
      </w:pPr>
      <w:r>
        <w:rPr>
          <w:color w:val="000000"/>
        </w:rPr>
        <w:separator/>
      </w:r>
    </w:p>
  </w:footnote>
  <w:footnote w:type="continuationSeparator" w:id="0">
    <w:p w14:paraId="1448A9DB" w14:textId="77777777" w:rsidR="004D2446" w:rsidRDefault="004D2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E96D" w14:textId="53D755A6" w:rsidR="009E02D1" w:rsidRDefault="004D2446">
    <w:pPr>
      <w:pStyle w:val="Intestazione"/>
    </w:pPr>
    <w:r>
      <w:rPr>
        <w:noProof/>
      </w:rPr>
      <w:pict w14:anchorId="06FD9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0;margin-top:0;width:481.75pt;height:707pt;z-index:-251651072;mso-wrap-edited:f;mso-width-percent:0;mso-height-percent:0;mso-position-horizontal:center;mso-position-horizontal-relative:margin;mso-position-vertical:center;mso-position-vertical-relative:margin;mso-width-percent:0;mso-height-percent:0" o:allowincell="f">
          <v:imagedata r:id="rId1" o:title="PMINEWS FILIGRANA"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A7AC" w14:textId="24369975" w:rsidR="009E02D1" w:rsidRDefault="004D2446">
    <w:pPr>
      <w:pStyle w:val="Intestazione"/>
    </w:pPr>
    <w:r>
      <w:rPr>
        <w:noProof/>
      </w:rPr>
      <w:pict w14:anchorId="5DA9E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481.75pt;height:707pt;z-index:-251648000;mso-wrap-edited:f;mso-width-percent:0;mso-height-percent:0;mso-position-horizontal:center;mso-position-horizontal-relative:margin;mso-position-vertical:center;mso-position-vertical-relative:margin;mso-width-percent:0;mso-height-percent:0" o:allowincell="f">
          <v:imagedata r:id="rId1" o:title="PMINEWS FILIGRANA"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5330" w14:textId="0567124A" w:rsidR="009E02D1" w:rsidRDefault="004D2446">
    <w:pPr>
      <w:pStyle w:val="Intestazione"/>
    </w:pPr>
    <w:r>
      <w:rPr>
        <w:noProof/>
      </w:rPr>
      <w:pict w14:anchorId="5E354D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481.75pt;height:707pt;z-index:-251654144;mso-wrap-edited:f;mso-width-percent:0;mso-height-percent:0;mso-position-horizontal:center;mso-position-horizontal-relative:margin;mso-position-vertical:center;mso-position-vertical-relative:margin;mso-width-percent:0;mso-height-percent:0" o:allowincell="f">
          <v:imagedata r:id="rId1" o:title="PMINEWS FILIGRANA"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423C"/>
    <w:multiLevelType w:val="hybridMultilevel"/>
    <w:tmpl w:val="305C9E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0657890"/>
    <w:multiLevelType w:val="hybridMultilevel"/>
    <w:tmpl w:val="C54811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183236"/>
    <w:multiLevelType w:val="hybridMultilevel"/>
    <w:tmpl w:val="C772F51A"/>
    <w:lvl w:ilvl="0" w:tplc="8A9E3D30">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33A16E67"/>
    <w:multiLevelType w:val="hybridMultilevel"/>
    <w:tmpl w:val="F35A522A"/>
    <w:lvl w:ilvl="0" w:tplc="04100017">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B65457D"/>
    <w:multiLevelType w:val="hybridMultilevel"/>
    <w:tmpl w:val="DFE870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D6F7D80"/>
    <w:multiLevelType w:val="hybridMultilevel"/>
    <w:tmpl w:val="BE8A53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046787D"/>
    <w:multiLevelType w:val="multilevel"/>
    <w:tmpl w:val="56708F2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439A27AE"/>
    <w:multiLevelType w:val="hybridMultilevel"/>
    <w:tmpl w:val="03F670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E2F6F91"/>
    <w:multiLevelType w:val="hybridMultilevel"/>
    <w:tmpl w:val="83A61BE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67EE672A"/>
    <w:multiLevelType w:val="hybridMultilevel"/>
    <w:tmpl w:val="871226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9C156F2"/>
    <w:multiLevelType w:val="hybridMultilevel"/>
    <w:tmpl w:val="FEC45A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70C585A"/>
    <w:multiLevelType w:val="hybridMultilevel"/>
    <w:tmpl w:val="B644E76E"/>
    <w:lvl w:ilvl="0" w:tplc="EDEAE2D6">
      <w:start w:val="1"/>
      <w:numFmt w:val="decimal"/>
      <w:lvlText w:val="%1."/>
      <w:lvlJc w:val="left"/>
      <w:pPr>
        <w:ind w:left="720" w:hanging="360"/>
      </w:pPr>
      <w:rPr>
        <w:rFonts w:ascii="Times New Roman" w:eastAsia="Aptos"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8791D9E"/>
    <w:multiLevelType w:val="hybridMultilevel"/>
    <w:tmpl w:val="BCA6D5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DFE4A48"/>
    <w:multiLevelType w:val="hybridMultilevel"/>
    <w:tmpl w:val="080021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96189140">
    <w:abstractNumId w:val="6"/>
  </w:num>
  <w:num w:numId="2" w16cid:durableId="456145729">
    <w:abstractNumId w:val="4"/>
  </w:num>
  <w:num w:numId="3" w16cid:durableId="8135265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8896278">
    <w:abstractNumId w:val="13"/>
  </w:num>
  <w:num w:numId="5" w16cid:durableId="213201288">
    <w:abstractNumId w:val="5"/>
  </w:num>
  <w:num w:numId="6" w16cid:durableId="1912419721">
    <w:abstractNumId w:val="0"/>
  </w:num>
  <w:num w:numId="7" w16cid:durableId="2019309838">
    <w:abstractNumId w:val="7"/>
  </w:num>
  <w:num w:numId="8" w16cid:durableId="645013688">
    <w:abstractNumId w:val="1"/>
  </w:num>
  <w:num w:numId="9" w16cid:durableId="1750537136">
    <w:abstractNumId w:val="3"/>
  </w:num>
  <w:num w:numId="10" w16cid:durableId="901595138">
    <w:abstractNumId w:val="9"/>
  </w:num>
  <w:num w:numId="11" w16cid:durableId="1529483776">
    <w:abstractNumId w:val="2"/>
  </w:num>
  <w:num w:numId="12" w16cid:durableId="1118064868">
    <w:abstractNumId w:val="10"/>
  </w:num>
  <w:num w:numId="13" w16cid:durableId="1898395723">
    <w:abstractNumId w:val="12"/>
  </w:num>
  <w:num w:numId="14" w16cid:durableId="221695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08"/>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65C"/>
    <w:rsid w:val="00000659"/>
    <w:rsid w:val="000009F6"/>
    <w:rsid w:val="000050E2"/>
    <w:rsid w:val="00010219"/>
    <w:rsid w:val="000106B8"/>
    <w:rsid w:val="00015AF1"/>
    <w:rsid w:val="00015EC3"/>
    <w:rsid w:val="00017D35"/>
    <w:rsid w:val="00032D2A"/>
    <w:rsid w:val="00034766"/>
    <w:rsid w:val="000352EF"/>
    <w:rsid w:val="00035907"/>
    <w:rsid w:val="0004030F"/>
    <w:rsid w:val="00040846"/>
    <w:rsid w:val="000439CF"/>
    <w:rsid w:val="00045007"/>
    <w:rsid w:val="00050CCD"/>
    <w:rsid w:val="00050D2B"/>
    <w:rsid w:val="00054294"/>
    <w:rsid w:val="00061673"/>
    <w:rsid w:val="00062224"/>
    <w:rsid w:val="00071CA9"/>
    <w:rsid w:val="00074258"/>
    <w:rsid w:val="00075A49"/>
    <w:rsid w:val="00077027"/>
    <w:rsid w:val="00083348"/>
    <w:rsid w:val="00085DA8"/>
    <w:rsid w:val="00085DAF"/>
    <w:rsid w:val="00086FFE"/>
    <w:rsid w:val="000878F0"/>
    <w:rsid w:val="000A64A8"/>
    <w:rsid w:val="000A681A"/>
    <w:rsid w:val="000B01C8"/>
    <w:rsid w:val="000B144D"/>
    <w:rsid w:val="000B6A83"/>
    <w:rsid w:val="000C0C17"/>
    <w:rsid w:val="000C0D8D"/>
    <w:rsid w:val="000C4364"/>
    <w:rsid w:val="000C59B6"/>
    <w:rsid w:val="000D0499"/>
    <w:rsid w:val="000D37F3"/>
    <w:rsid w:val="000D6B7C"/>
    <w:rsid w:val="000E37A0"/>
    <w:rsid w:val="000F538A"/>
    <w:rsid w:val="000F70C2"/>
    <w:rsid w:val="00103637"/>
    <w:rsid w:val="00104D70"/>
    <w:rsid w:val="00106C36"/>
    <w:rsid w:val="0011384E"/>
    <w:rsid w:val="0011402A"/>
    <w:rsid w:val="00116995"/>
    <w:rsid w:val="00116B26"/>
    <w:rsid w:val="00117AC4"/>
    <w:rsid w:val="00117C24"/>
    <w:rsid w:val="00121669"/>
    <w:rsid w:val="0012345A"/>
    <w:rsid w:val="001313F4"/>
    <w:rsid w:val="00135EA1"/>
    <w:rsid w:val="00136FA7"/>
    <w:rsid w:val="00140717"/>
    <w:rsid w:val="0014262D"/>
    <w:rsid w:val="0014672A"/>
    <w:rsid w:val="00146833"/>
    <w:rsid w:val="0015313B"/>
    <w:rsid w:val="00154B5F"/>
    <w:rsid w:val="00155532"/>
    <w:rsid w:val="001563D4"/>
    <w:rsid w:val="001669F9"/>
    <w:rsid w:val="001729AC"/>
    <w:rsid w:val="0017572A"/>
    <w:rsid w:val="00181ABF"/>
    <w:rsid w:val="00181DA4"/>
    <w:rsid w:val="0018307A"/>
    <w:rsid w:val="00185535"/>
    <w:rsid w:val="00187439"/>
    <w:rsid w:val="001931D7"/>
    <w:rsid w:val="001960BD"/>
    <w:rsid w:val="00197CA0"/>
    <w:rsid w:val="00197DF1"/>
    <w:rsid w:val="001A477B"/>
    <w:rsid w:val="001A4CD6"/>
    <w:rsid w:val="001B2A40"/>
    <w:rsid w:val="001B54B0"/>
    <w:rsid w:val="001B6228"/>
    <w:rsid w:val="001B7C61"/>
    <w:rsid w:val="001C4290"/>
    <w:rsid w:val="001C5264"/>
    <w:rsid w:val="001C53EA"/>
    <w:rsid w:val="001C5D7B"/>
    <w:rsid w:val="001D55F6"/>
    <w:rsid w:val="001D690B"/>
    <w:rsid w:val="001E075F"/>
    <w:rsid w:val="001E400F"/>
    <w:rsid w:val="001E5766"/>
    <w:rsid w:val="001E6146"/>
    <w:rsid w:val="001F3DC4"/>
    <w:rsid w:val="002018F7"/>
    <w:rsid w:val="00201F84"/>
    <w:rsid w:val="002021D7"/>
    <w:rsid w:val="00202973"/>
    <w:rsid w:val="00206B4E"/>
    <w:rsid w:val="00210F7D"/>
    <w:rsid w:val="002169FA"/>
    <w:rsid w:val="00221391"/>
    <w:rsid w:val="00221FC2"/>
    <w:rsid w:val="00226D0F"/>
    <w:rsid w:val="00230B81"/>
    <w:rsid w:val="00231DCF"/>
    <w:rsid w:val="00235197"/>
    <w:rsid w:val="0024520F"/>
    <w:rsid w:val="00245252"/>
    <w:rsid w:val="00245861"/>
    <w:rsid w:val="00246E46"/>
    <w:rsid w:val="002473D2"/>
    <w:rsid w:val="0025243A"/>
    <w:rsid w:val="0025256A"/>
    <w:rsid w:val="002527EA"/>
    <w:rsid w:val="002561D2"/>
    <w:rsid w:val="00256E6F"/>
    <w:rsid w:val="002628C5"/>
    <w:rsid w:val="002659A1"/>
    <w:rsid w:val="00265AE7"/>
    <w:rsid w:val="00265C48"/>
    <w:rsid w:val="00266B2B"/>
    <w:rsid w:val="002773CB"/>
    <w:rsid w:val="00277582"/>
    <w:rsid w:val="00280F05"/>
    <w:rsid w:val="002824B9"/>
    <w:rsid w:val="00291BEA"/>
    <w:rsid w:val="002A10C5"/>
    <w:rsid w:val="002A15E3"/>
    <w:rsid w:val="002A6383"/>
    <w:rsid w:val="002A63AF"/>
    <w:rsid w:val="002A7323"/>
    <w:rsid w:val="002A76EE"/>
    <w:rsid w:val="002B2D47"/>
    <w:rsid w:val="002B414E"/>
    <w:rsid w:val="002B4642"/>
    <w:rsid w:val="002B6815"/>
    <w:rsid w:val="002B72F1"/>
    <w:rsid w:val="002B776D"/>
    <w:rsid w:val="002C088C"/>
    <w:rsid w:val="002C477A"/>
    <w:rsid w:val="002C64D1"/>
    <w:rsid w:val="002C7641"/>
    <w:rsid w:val="002D0808"/>
    <w:rsid w:val="002D1293"/>
    <w:rsid w:val="002D31FD"/>
    <w:rsid w:val="002E08F1"/>
    <w:rsid w:val="002E4906"/>
    <w:rsid w:val="002E4C24"/>
    <w:rsid w:val="002E5E8D"/>
    <w:rsid w:val="002F17B9"/>
    <w:rsid w:val="002F1C15"/>
    <w:rsid w:val="002F5EE9"/>
    <w:rsid w:val="00300722"/>
    <w:rsid w:val="00301EDF"/>
    <w:rsid w:val="003020D7"/>
    <w:rsid w:val="00302E97"/>
    <w:rsid w:val="003031C5"/>
    <w:rsid w:val="00305917"/>
    <w:rsid w:val="003121EB"/>
    <w:rsid w:val="00312440"/>
    <w:rsid w:val="00312CF0"/>
    <w:rsid w:val="00313243"/>
    <w:rsid w:val="00314CDA"/>
    <w:rsid w:val="00316517"/>
    <w:rsid w:val="00316BC1"/>
    <w:rsid w:val="00316E59"/>
    <w:rsid w:val="0031795D"/>
    <w:rsid w:val="00322F40"/>
    <w:rsid w:val="0033269B"/>
    <w:rsid w:val="00334F63"/>
    <w:rsid w:val="00335EEC"/>
    <w:rsid w:val="003405E0"/>
    <w:rsid w:val="0034710B"/>
    <w:rsid w:val="00351887"/>
    <w:rsid w:val="00357C98"/>
    <w:rsid w:val="00363EAA"/>
    <w:rsid w:val="0036429E"/>
    <w:rsid w:val="00371881"/>
    <w:rsid w:val="003740A5"/>
    <w:rsid w:val="00374AA5"/>
    <w:rsid w:val="00376433"/>
    <w:rsid w:val="003771FC"/>
    <w:rsid w:val="003778F2"/>
    <w:rsid w:val="0038110A"/>
    <w:rsid w:val="003866EF"/>
    <w:rsid w:val="00393EC5"/>
    <w:rsid w:val="003A15C7"/>
    <w:rsid w:val="003A38E1"/>
    <w:rsid w:val="003A3970"/>
    <w:rsid w:val="003A6A9F"/>
    <w:rsid w:val="003A6F7B"/>
    <w:rsid w:val="003B2BA6"/>
    <w:rsid w:val="003B2F2D"/>
    <w:rsid w:val="003B387B"/>
    <w:rsid w:val="003B5608"/>
    <w:rsid w:val="003B6837"/>
    <w:rsid w:val="003B72EF"/>
    <w:rsid w:val="003C0BB4"/>
    <w:rsid w:val="003C4420"/>
    <w:rsid w:val="003C5569"/>
    <w:rsid w:val="003C5E24"/>
    <w:rsid w:val="003C6E22"/>
    <w:rsid w:val="003D09E2"/>
    <w:rsid w:val="003D0CB8"/>
    <w:rsid w:val="003D16DE"/>
    <w:rsid w:val="003D1AFB"/>
    <w:rsid w:val="003D37F8"/>
    <w:rsid w:val="003D3AC4"/>
    <w:rsid w:val="003D5093"/>
    <w:rsid w:val="003D6747"/>
    <w:rsid w:val="003D6C66"/>
    <w:rsid w:val="003E09B8"/>
    <w:rsid w:val="003E13A0"/>
    <w:rsid w:val="003E237E"/>
    <w:rsid w:val="003E23B3"/>
    <w:rsid w:val="003E315E"/>
    <w:rsid w:val="003E3896"/>
    <w:rsid w:val="003E3A16"/>
    <w:rsid w:val="003F1F93"/>
    <w:rsid w:val="003F3CC0"/>
    <w:rsid w:val="003F576B"/>
    <w:rsid w:val="003F64EA"/>
    <w:rsid w:val="003F660C"/>
    <w:rsid w:val="003F756F"/>
    <w:rsid w:val="0040009D"/>
    <w:rsid w:val="004024E6"/>
    <w:rsid w:val="00412B20"/>
    <w:rsid w:val="0041424D"/>
    <w:rsid w:val="00417908"/>
    <w:rsid w:val="00417920"/>
    <w:rsid w:val="00420236"/>
    <w:rsid w:val="00422357"/>
    <w:rsid w:val="0043023F"/>
    <w:rsid w:val="0043123E"/>
    <w:rsid w:val="00432090"/>
    <w:rsid w:val="00440589"/>
    <w:rsid w:val="00441350"/>
    <w:rsid w:val="0044213F"/>
    <w:rsid w:val="00450190"/>
    <w:rsid w:val="004534F9"/>
    <w:rsid w:val="00454824"/>
    <w:rsid w:val="00455017"/>
    <w:rsid w:val="00476DEA"/>
    <w:rsid w:val="0047772E"/>
    <w:rsid w:val="004778F4"/>
    <w:rsid w:val="0048012E"/>
    <w:rsid w:val="00482B9C"/>
    <w:rsid w:val="00483B76"/>
    <w:rsid w:val="00493F09"/>
    <w:rsid w:val="0049479A"/>
    <w:rsid w:val="00495222"/>
    <w:rsid w:val="00496208"/>
    <w:rsid w:val="00497D41"/>
    <w:rsid w:val="004A189C"/>
    <w:rsid w:val="004A406C"/>
    <w:rsid w:val="004A645A"/>
    <w:rsid w:val="004A755B"/>
    <w:rsid w:val="004B1501"/>
    <w:rsid w:val="004B2E19"/>
    <w:rsid w:val="004B3DE0"/>
    <w:rsid w:val="004B4F0A"/>
    <w:rsid w:val="004C1609"/>
    <w:rsid w:val="004C5383"/>
    <w:rsid w:val="004C6E59"/>
    <w:rsid w:val="004D041D"/>
    <w:rsid w:val="004D0434"/>
    <w:rsid w:val="004D2446"/>
    <w:rsid w:val="004D25AC"/>
    <w:rsid w:val="004D772A"/>
    <w:rsid w:val="004D7858"/>
    <w:rsid w:val="004E21B6"/>
    <w:rsid w:val="004E48B0"/>
    <w:rsid w:val="004F0046"/>
    <w:rsid w:val="005037DE"/>
    <w:rsid w:val="00503AE8"/>
    <w:rsid w:val="00504865"/>
    <w:rsid w:val="00506A30"/>
    <w:rsid w:val="0051145F"/>
    <w:rsid w:val="0051225B"/>
    <w:rsid w:val="00514CE9"/>
    <w:rsid w:val="00517E92"/>
    <w:rsid w:val="00524654"/>
    <w:rsid w:val="00526FAA"/>
    <w:rsid w:val="005276F6"/>
    <w:rsid w:val="00530C51"/>
    <w:rsid w:val="00532AEA"/>
    <w:rsid w:val="00532CB3"/>
    <w:rsid w:val="005376CB"/>
    <w:rsid w:val="005377FF"/>
    <w:rsid w:val="005427A4"/>
    <w:rsid w:val="00543D21"/>
    <w:rsid w:val="005475B0"/>
    <w:rsid w:val="00547BA7"/>
    <w:rsid w:val="0055220D"/>
    <w:rsid w:val="00553DEB"/>
    <w:rsid w:val="00562763"/>
    <w:rsid w:val="00565401"/>
    <w:rsid w:val="00566782"/>
    <w:rsid w:val="00567A68"/>
    <w:rsid w:val="00567D7E"/>
    <w:rsid w:val="00570088"/>
    <w:rsid w:val="00570C6A"/>
    <w:rsid w:val="00571C97"/>
    <w:rsid w:val="00572425"/>
    <w:rsid w:val="005724AB"/>
    <w:rsid w:val="00575F7C"/>
    <w:rsid w:val="00580AEE"/>
    <w:rsid w:val="00582EC4"/>
    <w:rsid w:val="00591F4F"/>
    <w:rsid w:val="00594EC7"/>
    <w:rsid w:val="00595495"/>
    <w:rsid w:val="0059571A"/>
    <w:rsid w:val="00596615"/>
    <w:rsid w:val="005A19FD"/>
    <w:rsid w:val="005A321A"/>
    <w:rsid w:val="005A47EC"/>
    <w:rsid w:val="005B019D"/>
    <w:rsid w:val="005B06EE"/>
    <w:rsid w:val="005B14B2"/>
    <w:rsid w:val="005C0A91"/>
    <w:rsid w:val="005C1322"/>
    <w:rsid w:val="005C2E87"/>
    <w:rsid w:val="005C583A"/>
    <w:rsid w:val="005C5BAA"/>
    <w:rsid w:val="005C63E5"/>
    <w:rsid w:val="005C75B7"/>
    <w:rsid w:val="005D1576"/>
    <w:rsid w:val="005D4E7E"/>
    <w:rsid w:val="005E0505"/>
    <w:rsid w:val="005E1265"/>
    <w:rsid w:val="005E4F1D"/>
    <w:rsid w:val="005E5912"/>
    <w:rsid w:val="005F33EC"/>
    <w:rsid w:val="005F3CB6"/>
    <w:rsid w:val="005F3FD0"/>
    <w:rsid w:val="005F51E7"/>
    <w:rsid w:val="005F5DB0"/>
    <w:rsid w:val="005F65C3"/>
    <w:rsid w:val="005F6F05"/>
    <w:rsid w:val="0060178E"/>
    <w:rsid w:val="006028BA"/>
    <w:rsid w:val="00602B31"/>
    <w:rsid w:val="00604481"/>
    <w:rsid w:val="006115BC"/>
    <w:rsid w:val="00614D1D"/>
    <w:rsid w:val="00620575"/>
    <w:rsid w:val="00622914"/>
    <w:rsid w:val="0062387A"/>
    <w:rsid w:val="006252CA"/>
    <w:rsid w:val="006276F7"/>
    <w:rsid w:val="006306E6"/>
    <w:rsid w:val="00631844"/>
    <w:rsid w:val="00631F5D"/>
    <w:rsid w:val="0063680A"/>
    <w:rsid w:val="0063723C"/>
    <w:rsid w:val="00641743"/>
    <w:rsid w:val="006426CC"/>
    <w:rsid w:val="006440AE"/>
    <w:rsid w:val="006441B8"/>
    <w:rsid w:val="00645558"/>
    <w:rsid w:val="00646BB8"/>
    <w:rsid w:val="0064772F"/>
    <w:rsid w:val="00647BF8"/>
    <w:rsid w:val="00650997"/>
    <w:rsid w:val="00650AD8"/>
    <w:rsid w:val="006519C3"/>
    <w:rsid w:val="006540BB"/>
    <w:rsid w:val="00655911"/>
    <w:rsid w:val="006678F7"/>
    <w:rsid w:val="00683C08"/>
    <w:rsid w:val="00684D91"/>
    <w:rsid w:val="00685A7E"/>
    <w:rsid w:val="00685EE6"/>
    <w:rsid w:val="00692188"/>
    <w:rsid w:val="006943B1"/>
    <w:rsid w:val="00694C7E"/>
    <w:rsid w:val="00695F1A"/>
    <w:rsid w:val="00696AF5"/>
    <w:rsid w:val="006A04F1"/>
    <w:rsid w:val="006A3846"/>
    <w:rsid w:val="006A4B2E"/>
    <w:rsid w:val="006A4DB7"/>
    <w:rsid w:val="006A502D"/>
    <w:rsid w:val="006A6A1F"/>
    <w:rsid w:val="006A6BEB"/>
    <w:rsid w:val="006B0A3F"/>
    <w:rsid w:val="006B0F26"/>
    <w:rsid w:val="006B0FD9"/>
    <w:rsid w:val="006B4F49"/>
    <w:rsid w:val="006B7BD6"/>
    <w:rsid w:val="006C028D"/>
    <w:rsid w:val="006C4E9A"/>
    <w:rsid w:val="006C5476"/>
    <w:rsid w:val="006C54EC"/>
    <w:rsid w:val="006C7C99"/>
    <w:rsid w:val="006D1887"/>
    <w:rsid w:val="006D2A60"/>
    <w:rsid w:val="006D2C09"/>
    <w:rsid w:val="006D66BF"/>
    <w:rsid w:val="006D7CC7"/>
    <w:rsid w:val="006E1242"/>
    <w:rsid w:val="006E43BF"/>
    <w:rsid w:val="006E4A61"/>
    <w:rsid w:val="006E5D36"/>
    <w:rsid w:val="006E69EF"/>
    <w:rsid w:val="006F3F50"/>
    <w:rsid w:val="006F571F"/>
    <w:rsid w:val="006F6300"/>
    <w:rsid w:val="006F79B1"/>
    <w:rsid w:val="00704CCE"/>
    <w:rsid w:val="00705035"/>
    <w:rsid w:val="007051D3"/>
    <w:rsid w:val="00705650"/>
    <w:rsid w:val="00705B35"/>
    <w:rsid w:val="00706B4E"/>
    <w:rsid w:val="00716937"/>
    <w:rsid w:val="00721D5B"/>
    <w:rsid w:val="007250DA"/>
    <w:rsid w:val="007307B1"/>
    <w:rsid w:val="00730C67"/>
    <w:rsid w:val="007336C3"/>
    <w:rsid w:val="00733725"/>
    <w:rsid w:val="007366E8"/>
    <w:rsid w:val="00740A8A"/>
    <w:rsid w:val="007414D8"/>
    <w:rsid w:val="00743294"/>
    <w:rsid w:val="0074343A"/>
    <w:rsid w:val="00743615"/>
    <w:rsid w:val="00746C3F"/>
    <w:rsid w:val="00763A06"/>
    <w:rsid w:val="00763F9C"/>
    <w:rsid w:val="007646C2"/>
    <w:rsid w:val="00764B94"/>
    <w:rsid w:val="00764C02"/>
    <w:rsid w:val="0076512C"/>
    <w:rsid w:val="00765ABF"/>
    <w:rsid w:val="00773422"/>
    <w:rsid w:val="00773B1C"/>
    <w:rsid w:val="00774846"/>
    <w:rsid w:val="00775C60"/>
    <w:rsid w:val="0077636C"/>
    <w:rsid w:val="007778E3"/>
    <w:rsid w:val="007810B6"/>
    <w:rsid w:val="007838DE"/>
    <w:rsid w:val="0078416E"/>
    <w:rsid w:val="00786BDF"/>
    <w:rsid w:val="00786C60"/>
    <w:rsid w:val="007873ED"/>
    <w:rsid w:val="00793309"/>
    <w:rsid w:val="007961C5"/>
    <w:rsid w:val="007A0964"/>
    <w:rsid w:val="007A0AA7"/>
    <w:rsid w:val="007A2F02"/>
    <w:rsid w:val="007A329F"/>
    <w:rsid w:val="007A3DFC"/>
    <w:rsid w:val="007A7D7F"/>
    <w:rsid w:val="007B1AAE"/>
    <w:rsid w:val="007B4080"/>
    <w:rsid w:val="007B5956"/>
    <w:rsid w:val="007B5A84"/>
    <w:rsid w:val="007B61A7"/>
    <w:rsid w:val="007B6A19"/>
    <w:rsid w:val="007C0A32"/>
    <w:rsid w:val="007C3FF5"/>
    <w:rsid w:val="007C44E9"/>
    <w:rsid w:val="007C4613"/>
    <w:rsid w:val="007D0BAD"/>
    <w:rsid w:val="007D2C19"/>
    <w:rsid w:val="007D488A"/>
    <w:rsid w:val="007D6243"/>
    <w:rsid w:val="007D7C06"/>
    <w:rsid w:val="007E083F"/>
    <w:rsid w:val="007E144D"/>
    <w:rsid w:val="007E1808"/>
    <w:rsid w:val="007E35D1"/>
    <w:rsid w:val="007E5A61"/>
    <w:rsid w:val="007E6D05"/>
    <w:rsid w:val="007E7D77"/>
    <w:rsid w:val="007F53BD"/>
    <w:rsid w:val="007F59D0"/>
    <w:rsid w:val="007F713E"/>
    <w:rsid w:val="007F79EC"/>
    <w:rsid w:val="00801161"/>
    <w:rsid w:val="008047C7"/>
    <w:rsid w:val="0080550E"/>
    <w:rsid w:val="008147ED"/>
    <w:rsid w:val="00815F69"/>
    <w:rsid w:val="0081756B"/>
    <w:rsid w:val="00822AAB"/>
    <w:rsid w:val="008232FE"/>
    <w:rsid w:val="008242E3"/>
    <w:rsid w:val="0082524E"/>
    <w:rsid w:val="008300FA"/>
    <w:rsid w:val="00831E55"/>
    <w:rsid w:val="00834CB3"/>
    <w:rsid w:val="00845585"/>
    <w:rsid w:val="00846634"/>
    <w:rsid w:val="008507E2"/>
    <w:rsid w:val="008534A3"/>
    <w:rsid w:val="008537D8"/>
    <w:rsid w:val="00856D38"/>
    <w:rsid w:val="0086239A"/>
    <w:rsid w:val="00864D26"/>
    <w:rsid w:val="00865A9F"/>
    <w:rsid w:val="00867177"/>
    <w:rsid w:val="00871F9A"/>
    <w:rsid w:val="00873287"/>
    <w:rsid w:val="0087498B"/>
    <w:rsid w:val="00877268"/>
    <w:rsid w:val="008776C2"/>
    <w:rsid w:val="00881B30"/>
    <w:rsid w:val="00882831"/>
    <w:rsid w:val="0088348B"/>
    <w:rsid w:val="008913E1"/>
    <w:rsid w:val="0089266D"/>
    <w:rsid w:val="00893226"/>
    <w:rsid w:val="0089326E"/>
    <w:rsid w:val="00895B7C"/>
    <w:rsid w:val="008A2838"/>
    <w:rsid w:val="008A2C27"/>
    <w:rsid w:val="008A49D6"/>
    <w:rsid w:val="008A7D57"/>
    <w:rsid w:val="008B170A"/>
    <w:rsid w:val="008B1AF5"/>
    <w:rsid w:val="008B5D7B"/>
    <w:rsid w:val="008B683A"/>
    <w:rsid w:val="008B7599"/>
    <w:rsid w:val="008C3100"/>
    <w:rsid w:val="008C5731"/>
    <w:rsid w:val="008D204D"/>
    <w:rsid w:val="008D5C11"/>
    <w:rsid w:val="008D673B"/>
    <w:rsid w:val="008E20B5"/>
    <w:rsid w:val="008E6657"/>
    <w:rsid w:val="008E734F"/>
    <w:rsid w:val="008E78F9"/>
    <w:rsid w:val="008F0641"/>
    <w:rsid w:val="008F2DC5"/>
    <w:rsid w:val="008F6E7F"/>
    <w:rsid w:val="008F6FDA"/>
    <w:rsid w:val="00900872"/>
    <w:rsid w:val="00904452"/>
    <w:rsid w:val="00904A27"/>
    <w:rsid w:val="00904B5B"/>
    <w:rsid w:val="00911416"/>
    <w:rsid w:val="00911813"/>
    <w:rsid w:val="0091190E"/>
    <w:rsid w:val="00913007"/>
    <w:rsid w:val="009138A0"/>
    <w:rsid w:val="009170AD"/>
    <w:rsid w:val="00921CD1"/>
    <w:rsid w:val="0092427B"/>
    <w:rsid w:val="00924B09"/>
    <w:rsid w:val="00926506"/>
    <w:rsid w:val="00926F79"/>
    <w:rsid w:val="009274AB"/>
    <w:rsid w:val="009307E6"/>
    <w:rsid w:val="009316E0"/>
    <w:rsid w:val="00931B95"/>
    <w:rsid w:val="00932BA9"/>
    <w:rsid w:val="00933C19"/>
    <w:rsid w:val="00933D87"/>
    <w:rsid w:val="00934388"/>
    <w:rsid w:val="00936657"/>
    <w:rsid w:val="009375B2"/>
    <w:rsid w:val="0093776C"/>
    <w:rsid w:val="0094061C"/>
    <w:rsid w:val="0094235E"/>
    <w:rsid w:val="009427E2"/>
    <w:rsid w:val="0094354D"/>
    <w:rsid w:val="009435D2"/>
    <w:rsid w:val="00950CAE"/>
    <w:rsid w:val="0095177E"/>
    <w:rsid w:val="009517BB"/>
    <w:rsid w:val="00952118"/>
    <w:rsid w:val="00954383"/>
    <w:rsid w:val="009558CA"/>
    <w:rsid w:val="00956940"/>
    <w:rsid w:val="009607DD"/>
    <w:rsid w:val="009608B4"/>
    <w:rsid w:val="00960CAF"/>
    <w:rsid w:val="0096133E"/>
    <w:rsid w:val="009617B4"/>
    <w:rsid w:val="00961E96"/>
    <w:rsid w:val="00962F65"/>
    <w:rsid w:val="0096527B"/>
    <w:rsid w:val="009731FD"/>
    <w:rsid w:val="0097645C"/>
    <w:rsid w:val="00977427"/>
    <w:rsid w:val="00981D61"/>
    <w:rsid w:val="00985263"/>
    <w:rsid w:val="00986150"/>
    <w:rsid w:val="0099416D"/>
    <w:rsid w:val="009A3C84"/>
    <w:rsid w:val="009A652A"/>
    <w:rsid w:val="009A7EE7"/>
    <w:rsid w:val="009B0AB1"/>
    <w:rsid w:val="009B2FFC"/>
    <w:rsid w:val="009B5C41"/>
    <w:rsid w:val="009B7B5C"/>
    <w:rsid w:val="009C2FFF"/>
    <w:rsid w:val="009C3B5B"/>
    <w:rsid w:val="009C5D35"/>
    <w:rsid w:val="009C611A"/>
    <w:rsid w:val="009C6E9E"/>
    <w:rsid w:val="009D0E63"/>
    <w:rsid w:val="009D12D1"/>
    <w:rsid w:val="009D1790"/>
    <w:rsid w:val="009D4738"/>
    <w:rsid w:val="009D4D1F"/>
    <w:rsid w:val="009D7411"/>
    <w:rsid w:val="009E02D1"/>
    <w:rsid w:val="009E11B6"/>
    <w:rsid w:val="009E12D0"/>
    <w:rsid w:val="009E1B7B"/>
    <w:rsid w:val="009E2831"/>
    <w:rsid w:val="009E41F0"/>
    <w:rsid w:val="009E62E3"/>
    <w:rsid w:val="009E6A30"/>
    <w:rsid w:val="009E70E9"/>
    <w:rsid w:val="009E77B7"/>
    <w:rsid w:val="009F09A9"/>
    <w:rsid w:val="009F0B68"/>
    <w:rsid w:val="009F31E0"/>
    <w:rsid w:val="009F3411"/>
    <w:rsid w:val="009F42A4"/>
    <w:rsid w:val="009F535D"/>
    <w:rsid w:val="009F69DD"/>
    <w:rsid w:val="00A01A72"/>
    <w:rsid w:val="00A06596"/>
    <w:rsid w:val="00A0769F"/>
    <w:rsid w:val="00A07D2A"/>
    <w:rsid w:val="00A12317"/>
    <w:rsid w:val="00A15E57"/>
    <w:rsid w:val="00A175ED"/>
    <w:rsid w:val="00A24F25"/>
    <w:rsid w:val="00A275B9"/>
    <w:rsid w:val="00A41AF6"/>
    <w:rsid w:val="00A43718"/>
    <w:rsid w:val="00A44727"/>
    <w:rsid w:val="00A52F13"/>
    <w:rsid w:val="00A55EEE"/>
    <w:rsid w:val="00A560D8"/>
    <w:rsid w:val="00A56E2D"/>
    <w:rsid w:val="00A577C2"/>
    <w:rsid w:val="00A57A33"/>
    <w:rsid w:val="00A57A8A"/>
    <w:rsid w:val="00A61472"/>
    <w:rsid w:val="00A616F3"/>
    <w:rsid w:val="00A61729"/>
    <w:rsid w:val="00A62708"/>
    <w:rsid w:val="00A65987"/>
    <w:rsid w:val="00A6632F"/>
    <w:rsid w:val="00A66C1A"/>
    <w:rsid w:val="00A67954"/>
    <w:rsid w:val="00A70EC6"/>
    <w:rsid w:val="00A72C9F"/>
    <w:rsid w:val="00A801CB"/>
    <w:rsid w:val="00A87A45"/>
    <w:rsid w:val="00A9514E"/>
    <w:rsid w:val="00A953F2"/>
    <w:rsid w:val="00A9674C"/>
    <w:rsid w:val="00A96B98"/>
    <w:rsid w:val="00A97131"/>
    <w:rsid w:val="00A9762F"/>
    <w:rsid w:val="00AB28BF"/>
    <w:rsid w:val="00AB2C98"/>
    <w:rsid w:val="00AB4262"/>
    <w:rsid w:val="00AB4A60"/>
    <w:rsid w:val="00AB608D"/>
    <w:rsid w:val="00AC4146"/>
    <w:rsid w:val="00AC5F75"/>
    <w:rsid w:val="00AC6CF7"/>
    <w:rsid w:val="00AC7022"/>
    <w:rsid w:val="00AD3702"/>
    <w:rsid w:val="00AD3A24"/>
    <w:rsid w:val="00AD4403"/>
    <w:rsid w:val="00AD45C7"/>
    <w:rsid w:val="00AD47AE"/>
    <w:rsid w:val="00AD5C62"/>
    <w:rsid w:val="00AE3044"/>
    <w:rsid w:val="00AE746B"/>
    <w:rsid w:val="00AF6540"/>
    <w:rsid w:val="00AF6B1A"/>
    <w:rsid w:val="00AF6E95"/>
    <w:rsid w:val="00AF747A"/>
    <w:rsid w:val="00B01F56"/>
    <w:rsid w:val="00B03B42"/>
    <w:rsid w:val="00B05154"/>
    <w:rsid w:val="00B1353A"/>
    <w:rsid w:val="00B17A66"/>
    <w:rsid w:val="00B2190F"/>
    <w:rsid w:val="00B22BFF"/>
    <w:rsid w:val="00B22C17"/>
    <w:rsid w:val="00B2444E"/>
    <w:rsid w:val="00B25100"/>
    <w:rsid w:val="00B31D09"/>
    <w:rsid w:val="00B33DAC"/>
    <w:rsid w:val="00B3406D"/>
    <w:rsid w:val="00B41A3E"/>
    <w:rsid w:val="00B42F1A"/>
    <w:rsid w:val="00B437DE"/>
    <w:rsid w:val="00B440D9"/>
    <w:rsid w:val="00B4639B"/>
    <w:rsid w:val="00B4658A"/>
    <w:rsid w:val="00B47A40"/>
    <w:rsid w:val="00B507CA"/>
    <w:rsid w:val="00B52C3A"/>
    <w:rsid w:val="00B561CC"/>
    <w:rsid w:val="00B5625E"/>
    <w:rsid w:val="00B56DF8"/>
    <w:rsid w:val="00B60050"/>
    <w:rsid w:val="00B63EF2"/>
    <w:rsid w:val="00B65E59"/>
    <w:rsid w:val="00B67EBA"/>
    <w:rsid w:val="00B700EF"/>
    <w:rsid w:val="00B75860"/>
    <w:rsid w:val="00B7627B"/>
    <w:rsid w:val="00B76F5A"/>
    <w:rsid w:val="00B80ED5"/>
    <w:rsid w:val="00B835AC"/>
    <w:rsid w:val="00B85425"/>
    <w:rsid w:val="00B90769"/>
    <w:rsid w:val="00BA17FB"/>
    <w:rsid w:val="00BA3192"/>
    <w:rsid w:val="00BB460C"/>
    <w:rsid w:val="00BB679E"/>
    <w:rsid w:val="00BB7799"/>
    <w:rsid w:val="00BC2A27"/>
    <w:rsid w:val="00BC538E"/>
    <w:rsid w:val="00BC5671"/>
    <w:rsid w:val="00BD0B9B"/>
    <w:rsid w:val="00BD3DC4"/>
    <w:rsid w:val="00BD446C"/>
    <w:rsid w:val="00BD7DC6"/>
    <w:rsid w:val="00BE2BC0"/>
    <w:rsid w:val="00BE2F4C"/>
    <w:rsid w:val="00BE36C2"/>
    <w:rsid w:val="00BE414E"/>
    <w:rsid w:val="00BE579E"/>
    <w:rsid w:val="00BE7E9E"/>
    <w:rsid w:val="00BF1D24"/>
    <w:rsid w:val="00BF2486"/>
    <w:rsid w:val="00BF2674"/>
    <w:rsid w:val="00BF30E7"/>
    <w:rsid w:val="00BF3CB3"/>
    <w:rsid w:val="00BF5789"/>
    <w:rsid w:val="00BF5933"/>
    <w:rsid w:val="00BF5F5B"/>
    <w:rsid w:val="00C0097C"/>
    <w:rsid w:val="00C01374"/>
    <w:rsid w:val="00C01D32"/>
    <w:rsid w:val="00C01EF8"/>
    <w:rsid w:val="00C03EDE"/>
    <w:rsid w:val="00C05709"/>
    <w:rsid w:val="00C10237"/>
    <w:rsid w:val="00C1031B"/>
    <w:rsid w:val="00C10D35"/>
    <w:rsid w:val="00C11A42"/>
    <w:rsid w:val="00C166CF"/>
    <w:rsid w:val="00C17E06"/>
    <w:rsid w:val="00C22674"/>
    <w:rsid w:val="00C259CC"/>
    <w:rsid w:val="00C272A1"/>
    <w:rsid w:val="00C36161"/>
    <w:rsid w:val="00C371E4"/>
    <w:rsid w:val="00C37E4C"/>
    <w:rsid w:val="00C412B4"/>
    <w:rsid w:val="00C45E6D"/>
    <w:rsid w:val="00C50455"/>
    <w:rsid w:val="00C55077"/>
    <w:rsid w:val="00C555C8"/>
    <w:rsid w:val="00C55FC8"/>
    <w:rsid w:val="00C56FA3"/>
    <w:rsid w:val="00C576EE"/>
    <w:rsid w:val="00C60953"/>
    <w:rsid w:val="00C6316E"/>
    <w:rsid w:val="00C64FBD"/>
    <w:rsid w:val="00C6563B"/>
    <w:rsid w:val="00C72726"/>
    <w:rsid w:val="00C73F4D"/>
    <w:rsid w:val="00C74484"/>
    <w:rsid w:val="00C74F4C"/>
    <w:rsid w:val="00C80DF6"/>
    <w:rsid w:val="00C8119D"/>
    <w:rsid w:val="00C8453F"/>
    <w:rsid w:val="00C91F78"/>
    <w:rsid w:val="00C91F7C"/>
    <w:rsid w:val="00C9360D"/>
    <w:rsid w:val="00C93B15"/>
    <w:rsid w:val="00CA113B"/>
    <w:rsid w:val="00CA34A9"/>
    <w:rsid w:val="00CA4144"/>
    <w:rsid w:val="00CA61CB"/>
    <w:rsid w:val="00CA68A9"/>
    <w:rsid w:val="00CB0BD5"/>
    <w:rsid w:val="00CB4720"/>
    <w:rsid w:val="00CB503A"/>
    <w:rsid w:val="00CB56EB"/>
    <w:rsid w:val="00CB5F15"/>
    <w:rsid w:val="00CC1029"/>
    <w:rsid w:val="00CC1457"/>
    <w:rsid w:val="00CC1B8B"/>
    <w:rsid w:val="00CC65E0"/>
    <w:rsid w:val="00CC6936"/>
    <w:rsid w:val="00CD01EE"/>
    <w:rsid w:val="00CD069E"/>
    <w:rsid w:val="00CD06F8"/>
    <w:rsid w:val="00CD1C5B"/>
    <w:rsid w:val="00CD2C93"/>
    <w:rsid w:val="00CD33DE"/>
    <w:rsid w:val="00CD4ED9"/>
    <w:rsid w:val="00CD4F11"/>
    <w:rsid w:val="00CD5F41"/>
    <w:rsid w:val="00CD6334"/>
    <w:rsid w:val="00CE0E26"/>
    <w:rsid w:val="00CE23EC"/>
    <w:rsid w:val="00CE41F9"/>
    <w:rsid w:val="00CE563C"/>
    <w:rsid w:val="00CE6384"/>
    <w:rsid w:val="00CF073E"/>
    <w:rsid w:val="00CF1D9C"/>
    <w:rsid w:val="00CF2FFC"/>
    <w:rsid w:val="00CF7D41"/>
    <w:rsid w:val="00D02717"/>
    <w:rsid w:val="00D06AC2"/>
    <w:rsid w:val="00D10C1D"/>
    <w:rsid w:val="00D115FF"/>
    <w:rsid w:val="00D179CA"/>
    <w:rsid w:val="00D21816"/>
    <w:rsid w:val="00D2214B"/>
    <w:rsid w:val="00D237AE"/>
    <w:rsid w:val="00D31421"/>
    <w:rsid w:val="00D33561"/>
    <w:rsid w:val="00D34E2A"/>
    <w:rsid w:val="00D36399"/>
    <w:rsid w:val="00D36DAE"/>
    <w:rsid w:val="00D3798D"/>
    <w:rsid w:val="00D40575"/>
    <w:rsid w:val="00D4092A"/>
    <w:rsid w:val="00D41244"/>
    <w:rsid w:val="00D42E95"/>
    <w:rsid w:val="00D43034"/>
    <w:rsid w:val="00D46779"/>
    <w:rsid w:val="00D51270"/>
    <w:rsid w:val="00D529A5"/>
    <w:rsid w:val="00D52B7E"/>
    <w:rsid w:val="00D564EE"/>
    <w:rsid w:val="00D60D65"/>
    <w:rsid w:val="00D61E82"/>
    <w:rsid w:val="00D63521"/>
    <w:rsid w:val="00D73A43"/>
    <w:rsid w:val="00D77646"/>
    <w:rsid w:val="00D8618D"/>
    <w:rsid w:val="00D9136B"/>
    <w:rsid w:val="00D917C5"/>
    <w:rsid w:val="00D91E14"/>
    <w:rsid w:val="00D93A05"/>
    <w:rsid w:val="00D94A26"/>
    <w:rsid w:val="00DA2546"/>
    <w:rsid w:val="00DA66A3"/>
    <w:rsid w:val="00DA6A57"/>
    <w:rsid w:val="00DA6E73"/>
    <w:rsid w:val="00DA768E"/>
    <w:rsid w:val="00DB3197"/>
    <w:rsid w:val="00DB43E8"/>
    <w:rsid w:val="00DB4695"/>
    <w:rsid w:val="00DB4F0D"/>
    <w:rsid w:val="00DB760E"/>
    <w:rsid w:val="00DB78F9"/>
    <w:rsid w:val="00DD146B"/>
    <w:rsid w:val="00DE3E38"/>
    <w:rsid w:val="00DE470D"/>
    <w:rsid w:val="00DE5690"/>
    <w:rsid w:val="00DE5D2F"/>
    <w:rsid w:val="00DF091C"/>
    <w:rsid w:val="00DF22D8"/>
    <w:rsid w:val="00DF39CF"/>
    <w:rsid w:val="00DF4B9E"/>
    <w:rsid w:val="00DF5359"/>
    <w:rsid w:val="00DF7ABC"/>
    <w:rsid w:val="00E023D7"/>
    <w:rsid w:val="00E04D11"/>
    <w:rsid w:val="00E06436"/>
    <w:rsid w:val="00E06A7D"/>
    <w:rsid w:val="00E07EAE"/>
    <w:rsid w:val="00E10114"/>
    <w:rsid w:val="00E11F6E"/>
    <w:rsid w:val="00E132E7"/>
    <w:rsid w:val="00E13635"/>
    <w:rsid w:val="00E149E6"/>
    <w:rsid w:val="00E1585A"/>
    <w:rsid w:val="00E16DA0"/>
    <w:rsid w:val="00E17707"/>
    <w:rsid w:val="00E21FEA"/>
    <w:rsid w:val="00E24498"/>
    <w:rsid w:val="00E24C49"/>
    <w:rsid w:val="00E26A41"/>
    <w:rsid w:val="00E2720A"/>
    <w:rsid w:val="00E31B57"/>
    <w:rsid w:val="00E31F83"/>
    <w:rsid w:val="00E32DFB"/>
    <w:rsid w:val="00E412E6"/>
    <w:rsid w:val="00E432D1"/>
    <w:rsid w:val="00E43DB3"/>
    <w:rsid w:val="00E4436D"/>
    <w:rsid w:val="00E5172F"/>
    <w:rsid w:val="00E51AAF"/>
    <w:rsid w:val="00E5418D"/>
    <w:rsid w:val="00E5431B"/>
    <w:rsid w:val="00E55F1B"/>
    <w:rsid w:val="00E576A5"/>
    <w:rsid w:val="00E60662"/>
    <w:rsid w:val="00E63FE4"/>
    <w:rsid w:val="00E64FFD"/>
    <w:rsid w:val="00E65071"/>
    <w:rsid w:val="00E6676C"/>
    <w:rsid w:val="00E71911"/>
    <w:rsid w:val="00E71F9F"/>
    <w:rsid w:val="00E72614"/>
    <w:rsid w:val="00E7363F"/>
    <w:rsid w:val="00E7600E"/>
    <w:rsid w:val="00E76151"/>
    <w:rsid w:val="00E818C9"/>
    <w:rsid w:val="00E83CE1"/>
    <w:rsid w:val="00E87B10"/>
    <w:rsid w:val="00E92725"/>
    <w:rsid w:val="00E935DF"/>
    <w:rsid w:val="00E95618"/>
    <w:rsid w:val="00E95984"/>
    <w:rsid w:val="00E97CB5"/>
    <w:rsid w:val="00EA2D50"/>
    <w:rsid w:val="00EA6839"/>
    <w:rsid w:val="00EA7647"/>
    <w:rsid w:val="00EB5215"/>
    <w:rsid w:val="00EB6D00"/>
    <w:rsid w:val="00EB7245"/>
    <w:rsid w:val="00EB77E2"/>
    <w:rsid w:val="00EC00B6"/>
    <w:rsid w:val="00ED065C"/>
    <w:rsid w:val="00ED1907"/>
    <w:rsid w:val="00ED1C28"/>
    <w:rsid w:val="00ED21BA"/>
    <w:rsid w:val="00ED25E8"/>
    <w:rsid w:val="00ED3236"/>
    <w:rsid w:val="00EE0590"/>
    <w:rsid w:val="00EE0ADC"/>
    <w:rsid w:val="00EE37D9"/>
    <w:rsid w:val="00EE547A"/>
    <w:rsid w:val="00EE663E"/>
    <w:rsid w:val="00EF073A"/>
    <w:rsid w:val="00EF0747"/>
    <w:rsid w:val="00EF1BF3"/>
    <w:rsid w:val="00EF57B2"/>
    <w:rsid w:val="00EF60C0"/>
    <w:rsid w:val="00F02045"/>
    <w:rsid w:val="00F02A62"/>
    <w:rsid w:val="00F1098A"/>
    <w:rsid w:val="00F11016"/>
    <w:rsid w:val="00F17C1F"/>
    <w:rsid w:val="00F225AE"/>
    <w:rsid w:val="00F24EB6"/>
    <w:rsid w:val="00F30A7E"/>
    <w:rsid w:val="00F35683"/>
    <w:rsid w:val="00F36A97"/>
    <w:rsid w:val="00F410A3"/>
    <w:rsid w:val="00F42245"/>
    <w:rsid w:val="00F45479"/>
    <w:rsid w:val="00F52323"/>
    <w:rsid w:val="00F5247C"/>
    <w:rsid w:val="00F55565"/>
    <w:rsid w:val="00F607A7"/>
    <w:rsid w:val="00F60D88"/>
    <w:rsid w:val="00F622A2"/>
    <w:rsid w:val="00F63C82"/>
    <w:rsid w:val="00F654DD"/>
    <w:rsid w:val="00F71B3D"/>
    <w:rsid w:val="00F72A76"/>
    <w:rsid w:val="00F749CC"/>
    <w:rsid w:val="00F75B3D"/>
    <w:rsid w:val="00F75CFC"/>
    <w:rsid w:val="00F768EE"/>
    <w:rsid w:val="00F83F26"/>
    <w:rsid w:val="00F84B7E"/>
    <w:rsid w:val="00F85E48"/>
    <w:rsid w:val="00F8759B"/>
    <w:rsid w:val="00F95BD3"/>
    <w:rsid w:val="00FA0101"/>
    <w:rsid w:val="00FA04BE"/>
    <w:rsid w:val="00FA0E17"/>
    <w:rsid w:val="00FA4C3F"/>
    <w:rsid w:val="00FA695C"/>
    <w:rsid w:val="00FA7FBC"/>
    <w:rsid w:val="00FB0128"/>
    <w:rsid w:val="00FB2DFA"/>
    <w:rsid w:val="00FB60E5"/>
    <w:rsid w:val="00FC2661"/>
    <w:rsid w:val="00FC3256"/>
    <w:rsid w:val="00FC3AF7"/>
    <w:rsid w:val="00FC4AA0"/>
    <w:rsid w:val="00FD4D6E"/>
    <w:rsid w:val="00FD4F23"/>
    <w:rsid w:val="00FD6871"/>
    <w:rsid w:val="00FD6888"/>
    <w:rsid w:val="00FD76B9"/>
    <w:rsid w:val="00FE01EF"/>
    <w:rsid w:val="00FE3C2D"/>
    <w:rsid w:val="00FE44A8"/>
    <w:rsid w:val="00FE45AA"/>
    <w:rsid w:val="00FF0DCB"/>
    <w:rsid w:val="00FF42E1"/>
    <w:rsid w:val="00FF54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DB87"/>
  <w15:docId w15:val="{5235F368-6317-4072-98B4-A717C296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it-IT"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next w:val="Normale"/>
    <w:uiPriority w:val="9"/>
    <w:qFormat/>
    <w:pPr>
      <w:keepNext/>
      <w:keepLines/>
      <w:spacing w:before="360" w:after="80"/>
      <w:outlineLvl w:val="0"/>
    </w:pPr>
    <w:rPr>
      <w:rFonts w:ascii="Aptos Display" w:eastAsia="Times New Roman" w:hAnsi="Aptos Display"/>
      <w:color w:val="2E74B5"/>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Aptos Display" w:eastAsia="Times New Roman" w:hAnsi="Aptos Display"/>
      <w:color w:val="2E74B5"/>
      <w:sz w:val="32"/>
      <w:szCs w:val="32"/>
    </w:rPr>
  </w:style>
  <w:style w:type="paragraph" w:styleId="Titolo3">
    <w:name w:val="heading 3"/>
    <w:basedOn w:val="Normale"/>
    <w:next w:val="Normale"/>
    <w:uiPriority w:val="9"/>
    <w:semiHidden/>
    <w:unhideWhenUsed/>
    <w:qFormat/>
    <w:pPr>
      <w:keepNext/>
      <w:keepLines/>
      <w:spacing w:before="160" w:after="80"/>
      <w:outlineLvl w:val="2"/>
    </w:pPr>
    <w:rPr>
      <w:rFonts w:eastAsia="Times New Roman"/>
      <w:color w:val="2E74B5"/>
      <w:sz w:val="28"/>
      <w:szCs w:val="28"/>
    </w:rPr>
  </w:style>
  <w:style w:type="paragraph" w:styleId="Titolo4">
    <w:name w:val="heading 4"/>
    <w:basedOn w:val="Normale"/>
    <w:next w:val="Normale"/>
    <w:uiPriority w:val="9"/>
    <w:semiHidden/>
    <w:unhideWhenUsed/>
    <w:qFormat/>
    <w:pPr>
      <w:keepNext/>
      <w:keepLines/>
      <w:spacing w:before="80" w:after="40"/>
      <w:outlineLvl w:val="3"/>
    </w:pPr>
    <w:rPr>
      <w:rFonts w:eastAsia="Times New Roman"/>
      <w:i/>
      <w:iCs/>
      <w:color w:val="2E74B5"/>
    </w:rPr>
  </w:style>
  <w:style w:type="paragraph" w:styleId="Titolo5">
    <w:name w:val="heading 5"/>
    <w:basedOn w:val="Normale"/>
    <w:next w:val="Normale"/>
    <w:uiPriority w:val="9"/>
    <w:semiHidden/>
    <w:unhideWhenUsed/>
    <w:qFormat/>
    <w:pPr>
      <w:keepNext/>
      <w:keepLines/>
      <w:spacing w:before="80" w:after="40"/>
      <w:outlineLvl w:val="4"/>
    </w:pPr>
    <w:rPr>
      <w:rFonts w:eastAsia="Times New Roman"/>
      <w:color w:val="2E74B5"/>
    </w:rPr>
  </w:style>
  <w:style w:type="paragraph" w:styleId="Titolo6">
    <w:name w:val="heading 6"/>
    <w:basedOn w:val="Normale"/>
    <w:next w:val="Normale"/>
    <w:uiPriority w:val="9"/>
    <w:semiHidden/>
    <w:unhideWhenUsed/>
    <w:qFormat/>
    <w:pPr>
      <w:keepNext/>
      <w:keepLines/>
      <w:spacing w:before="40" w:after="0"/>
      <w:outlineLvl w:val="5"/>
    </w:pPr>
    <w:rPr>
      <w:rFonts w:eastAsia="Times New Roman"/>
      <w:i/>
      <w:iCs/>
      <w:color w:val="595959"/>
    </w:rPr>
  </w:style>
  <w:style w:type="paragraph" w:styleId="Titolo7">
    <w:name w:val="heading 7"/>
    <w:basedOn w:val="Normale"/>
    <w:next w:val="Normale"/>
    <w:pPr>
      <w:keepNext/>
      <w:keepLines/>
      <w:spacing w:before="40" w:after="0"/>
      <w:outlineLvl w:val="6"/>
    </w:pPr>
    <w:rPr>
      <w:rFonts w:eastAsia="Times New Roman"/>
      <w:color w:val="595959"/>
    </w:rPr>
  </w:style>
  <w:style w:type="paragraph" w:styleId="Titolo8">
    <w:name w:val="heading 8"/>
    <w:basedOn w:val="Normale"/>
    <w:next w:val="Normale"/>
    <w:pPr>
      <w:keepNext/>
      <w:keepLines/>
      <w:spacing w:after="0"/>
      <w:outlineLvl w:val="7"/>
    </w:pPr>
    <w:rPr>
      <w:rFonts w:eastAsia="Times New Roman"/>
      <w:i/>
      <w:iCs/>
      <w:color w:val="272727"/>
    </w:rPr>
  </w:style>
  <w:style w:type="paragraph" w:styleId="Titolo9">
    <w:name w:val="heading 9"/>
    <w:basedOn w:val="Normale"/>
    <w:next w:val="Normale"/>
    <w:pPr>
      <w:keepNext/>
      <w:keepLines/>
      <w:spacing w:after="0"/>
      <w:outlineLvl w:val="8"/>
    </w:pPr>
    <w:rPr>
      <w:rFonts w:eastAsia="Times New Roman"/>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rPr>
      <w:rFonts w:ascii="Aptos Display" w:eastAsia="Times New Roman" w:hAnsi="Aptos Display" w:cs="Times New Roman"/>
      <w:color w:val="2E74B5"/>
      <w:sz w:val="40"/>
      <w:szCs w:val="40"/>
    </w:rPr>
  </w:style>
  <w:style w:type="character" w:customStyle="1" w:styleId="Titolo2Carattere">
    <w:name w:val="Titolo 2 Carattere"/>
    <w:basedOn w:val="Carpredefinitoparagrafo"/>
    <w:rPr>
      <w:rFonts w:ascii="Aptos Display" w:eastAsia="Times New Roman" w:hAnsi="Aptos Display" w:cs="Times New Roman"/>
      <w:color w:val="2E74B5"/>
      <w:sz w:val="32"/>
      <w:szCs w:val="32"/>
    </w:rPr>
  </w:style>
  <w:style w:type="character" w:customStyle="1" w:styleId="Titolo3Carattere">
    <w:name w:val="Titolo 3 Carattere"/>
    <w:basedOn w:val="Carpredefinitoparagrafo"/>
    <w:rPr>
      <w:rFonts w:eastAsia="Times New Roman" w:cs="Times New Roman"/>
      <w:color w:val="2E74B5"/>
      <w:sz w:val="28"/>
      <w:szCs w:val="28"/>
    </w:rPr>
  </w:style>
  <w:style w:type="character" w:customStyle="1" w:styleId="Titolo4Carattere">
    <w:name w:val="Titolo 4 Carattere"/>
    <w:basedOn w:val="Carpredefinitoparagrafo"/>
    <w:rPr>
      <w:rFonts w:eastAsia="Times New Roman" w:cs="Times New Roman"/>
      <w:i/>
      <w:iCs/>
      <w:color w:val="2E74B5"/>
    </w:rPr>
  </w:style>
  <w:style w:type="character" w:customStyle="1" w:styleId="Titolo5Carattere">
    <w:name w:val="Titolo 5 Carattere"/>
    <w:basedOn w:val="Carpredefinitoparagrafo"/>
    <w:rPr>
      <w:rFonts w:eastAsia="Times New Roman" w:cs="Times New Roman"/>
      <w:color w:val="2E74B5"/>
    </w:rPr>
  </w:style>
  <w:style w:type="character" w:customStyle="1" w:styleId="Titolo6Carattere">
    <w:name w:val="Titolo 6 Carattere"/>
    <w:basedOn w:val="Carpredefinitoparagrafo"/>
    <w:rPr>
      <w:rFonts w:eastAsia="Times New Roman" w:cs="Times New Roman"/>
      <w:i/>
      <w:iCs/>
      <w:color w:val="595959"/>
    </w:rPr>
  </w:style>
  <w:style w:type="character" w:customStyle="1" w:styleId="Titolo7Carattere">
    <w:name w:val="Titolo 7 Carattere"/>
    <w:basedOn w:val="Carpredefinitoparagrafo"/>
    <w:rPr>
      <w:rFonts w:eastAsia="Times New Roman" w:cs="Times New Roman"/>
      <w:color w:val="595959"/>
    </w:rPr>
  </w:style>
  <w:style w:type="character" w:customStyle="1" w:styleId="Titolo8Carattere">
    <w:name w:val="Titolo 8 Carattere"/>
    <w:basedOn w:val="Carpredefinitoparagrafo"/>
    <w:rPr>
      <w:rFonts w:eastAsia="Times New Roman" w:cs="Times New Roman"/>
      <w:i/>
      <w:iCs/>
      <w:color w:val="272727"/>
    </w:rPr>
  </w:style>
  <w:style w:type="character" w:customStyle="1" w:styleId="Titolo9Carattere">
    <w:name w:val="Titolo 9 Carattere"/>
    <w:basedOn w:val="Carpredefinitoparagrafo"/>
    <w:rPr>
      <w:rFonts w:eastAsia="Times New Roman" w:cs="Times New Roman"/>
      <w:color w:val="272727"/>
    </w:rPr>
  </w:style>
  <w:style w:type="paragraph" w:styleId="Titolo">
    <w:name w:val="Title"/>
    <w:basedOn w:val="Normale"/>
    <w:next w:val="Normale"/>
    <w:uiPriority w:val="10"/>
    <w:qFormat/>
    <w:pPr>
      <w:spacing w:after="80" w:line="240" w:lineRule="auto"/>
      <w:contextualSpacing/>
    </w:pPr>
    <w:rPr>
      <w:rFonts w:ascii="Aptos Display" w:eastAsia="Times New Roman" w:hAnsi="Aptos Display"/>
      <w:spacing w:val="-10"/>
      <w:sz w:val="56"/>
      <w:szCs w:val="56"/>
    </w:rPr>
  </w:style>
  <w:style w:type="character" w:customStyle="1" w:styleId="TitoloCarattere">
    <w:name w:val="Titolo Carattere"/>
    <w:basedOn w:val="Carpredefinitoparagrafo"/>
    <w:rPr>
      <w:rFonts w:ascii="Aptos Display" w:eastAsia="Times New Roman" w:hAnsi="Aptos Display" w:cs="Times New Roman"/>
      <w:spacing w:val="-10"/>
      <w:kern w:val="3"/>
      <w:sz w:val="56"/>
      <w:szCs w:val="56"/>
    </w:rPr>
  </w:style>
  <w:style w:type="paragraph" w:styleId="Sottotitolo">
    <w:name w:val="Subtitle"/>
    <w:basedOn w:val="Normale"/>
    <w:next w:val="Normale"/>
    <w:uiPriority w:val="11"/>
    <w:qFormat/>
    <w:rPr>
      <w:rFonts w:eastAsia="Times New Roman"/>
      <w:color w:val="595959"/>
      <w:spacing w:val="15"/>
      <w:sz w:val="28"/>
      <w:szCs w:val="28"/>
    </w:rPr>
  </w:style>
  <w:style w:type="character" w:customStyle="1" w:styleId="SottotitoloCarattere">
    <w:name w:val="Sottotitolo Carattere"/>
    <w:basedOn w:val="Carpredefinitoparagrafo"/>
    <w:rPr>
      <w:rFonts w:eastAsia="Times New Roman" w:cs="Times New Roman"/>
      <w:color w:val="595959"/>
      <w:spacing w:val="15"/>
      <w:sz w:val="28"/>
      <w:szCs w:val="28"/>
    </w:rPr>
  </w:style>
  <w:style w:type="paragraph" w:styleId="Citazione">
    <w:name w:val="Quote"/>
    <w:basedOn w:val="Normale"/>
    <w:next w:val="Normale"/>
    <w:pPr>
      <w:spacing w:before="160"/>
      <w:jc w:val="center"/>
    </w:pPr>
    <w:rPr>
      <w:i/>
      <w:iCs/>
      <w:color w:val="404040"/>
    </w:rPr>
  </w:style>
  <w:style w:type="character" w:customStyle="1" w:styleId="CitazioneCarattere">
    <w:name w:val="Citazione Carattere"/>
    <w:basedOn w:val="Carpredefinitoparagrafo"/>
    <w:rPr>
      <w:i/>
      <w:iCs/>
      <w:color w:val="404040"/>
    </w:rPr>
  </w:style>
  <w:style w:type="paragraph" w:styleId="Paragrafoelenco">
    <w:name w:val="List Paragraph"/>
    <w:basedOn w:val="Normale"/>
    <w:uiPriority w:val="34"/>
    <w:qFormat/>
    <w:pPr>
      <w:ind w:left="720"/>
      <w:contextualSpacing/>
    </w:pPr>
  </w:style>
  <w:style w:type="character" w:styleId="Enfasiintensa">
    <w:name w:val="Intense Emphasis"/>
    <w:basedOn w:val="Carpredefinitoparagrafo"/>
    <w:rPr>
      <w:i/>
      <w:iCs/>
      <w:color w:val="2E74B5"/>
    </w:rPr>
  </w:style>
  <w:style w:type="paragraph" w:styleId="Citazioneintensa">
    <w:name w:val="Intense Quote"/>
    <w:basedOn w:val="Normale"/>
    <w:next w:val="Normale"/>
    <w:pPr>
      <w:pBdr>
        <w:top w:val="single" w:sz="4" w:space="10" w:color="2E74B5"/>
        <w:bottom w:val="single" w:sz="4" w:space="10" w:color="2E74B5"/>
      </w:pBdr>
      <w:spacing w:before="360" w:after="360"/>
      <w:ind w:left="864" w:right="864"/>
      <w:jc w:val="center"/>
    </w:pPr>
    <w:rPr>
      <w:i/>
      <w:iCs/>
      <w:color w:val="2E74B5"/>
    </w:rPr>
  </w:style>
  <w:style w:type="character" w:customStyle="1" w:styleId="CitazioneintensaCarattere">
    <w:name w:val="Citazione intensa Carattere"/>
    <w:basedOn w:val="Carpredefinitoparagrafo"/>
    <w:rPr>
      <w:i/>
      <w:iCs/>
      <w:color w:val="2E74B5"/>
    </w:rPr>
  </w:style>
  <w:style w:type="character" w:styleId="Riferimentointenso">
    <w:name w:val="Intense Reference"/>
    <w:basedOn w:val="Carpredefinitoparagrafo"/>
    <w:rPr>
      <w:b/>
      <w:bCs/>
      <w:smallCaps/>
      <w:color w:val="2E74B5"/>
      <w:spacing w:val="5"/>
    </w:rPr>
  </w:style>
  <w:style w:type="paragraph" w:styleId="NormaleWeb">
    <w:name w:val="Normal (Web)"/>
    <w:basedOn w:val="Normale"/>
    <w:uiPriority w:val="99"/>
    <w:unhideWhenUsed/>
    <w:rsid w:val="002D0808"/>
    <w:pPr>
      <w:suppressAutoHyphens w:val="0"/>
      <w:autoSpaceDN/>
      <w:spacing w:before="100" w:beforeAutospacing="1" w:after="100" w:afterAutospacing="1" w:line="240" w:lineRule="auto"/>
    </w:pPr>
    <w:rPr>
      <w:rFonts w:ascii="Times New Roman" w:eastAsia="Times New Roman" w:hAnsi="Times New Roman"/>
      <w:kern w:val="0"/>
      <w:sz w:val="24"/>
      <w:szCs w:val="24"/>
      <w:lang w:eastAsia="it-IT"/>
    </w:rPr>
  </w:style>
  <w:style w:type="paragraph" w:styleId="Testonotaapidipagina">
    <w:name w:val="footnote text"/>
    <w:basedOn w:val="Normale"/>
    <w:link w:val="TestonotaapidipaginaCarattere"/>
    <w:uiPriority w:val="99"/>
    <w:semiHidden/>
    <w:unhideWhenUsed/>
    <w:rsid w:val="00C6563B"/>
    <w:pPr>
      <w:suppressAutoHyphens w:val="0"/>
      <w:autoSpaceDN/>
      <w:spacing w:after="0" w:line="240" w:lineRule="auto"/>
    </w:pPr>
    <w:rPr>
      <w:rFonts w:asciiTheme="minorHAnsi" w:eastAsiaTheme="minorHAnsi" w:hAnsiTheme="minorHAnsi" w:cstheme="minorBidi"/>
      <w:kern w:val="0"/>
      <w:sz w:val="20"/>
      <w:szCs w:val="20"/>
    </w:rPr>
  </w:style>
  <w:style w:type="character" w:customStyle="1" w:styleId="TestonotaapidipaginaCarattere">
    <w:name w:val="Testo nota a piè di pagina Carattere"/>
    <w:basedOn w:val="Carpredefinitoparagrafo"/>
    <w:link w:val="Testonotaapidipagina"/>
    <w:uiPriority w:val="99"/>
    <w:semiHidden/>
    <w:rsid w:val="00C6563B"/>
    <w:rPr>
      <w:rFonts w:asciiTheme="minorHAnsi" w:eastAsiaTheme="minorHAnsi" w:hAnsiTheme="minorHAnsi" w:cstheme="minorBidi"/>
      <w:kern w:val="0"/>
      <w:sz w:val="20"/>
      <w:szCs w:val="20"/>
    </w:rPr>
  </w:style>
  <w:style w:type="character" w:styleId="Rimandonotaapidipagina">
    <w:name w:val="footnote reference"/>
    <w:basedOn w:val="Carpredefinitoparagrafo"/>
    <w:uiPriority w:val="99"/>
    <w:semiHidden/>
    <w:unhideWhenUsed/>
    <w:rsid w:val="00C6563B"/>
    <w:rPr>
      <w:vertAlign w:val="superscript"/>
    </w:rPr>
  </w:style>
  <w:style w:type="character" w:styleId="Collegamentoipertestuale">
    <w:name w:val="Hyperlink"/>
    <w:basedOn w:val="Carpredefinitoparagrafo"/>
    <w:uiPriority w:val="99"/>
    <w:unhideWhenUsed/>
    <w:rsid w:val="003F756F"/>
    <w:rPr>
      <w:color w:val="467886" w:themeColor="hyperlink"/>
      <w:u w:val="single"/>
    </w:rPr>
  </w:style>
  <w:style w:type="character" w:styleId="Menzionenonrisolta">
    <w:name w:val="Unresolved Mention"/>
    <w:basedOn w:val="Carpredefinitoparagrafo"/>
    <w:uiPriority w:val="99"/>
    <w:semiHidden/>
    <w:unhideWhenUsed/>
    <w:rsid w:val="003F756F"/>
    <w:rPr>
      <w:color w:val="605E5C"/>
      <w:shd w:val="clear" w:color="auto" w:fill="E1DFDD"/>
    </w:rPr>
  </w:style>
  <w:style w:type="paragraph" w:styleId="Revisione">
    <w:name w:val="Revision"/>
    <w:hidden/>
    <w:uiPriority w:val="99"/>
    <w:semiHidden/>
    <w:rsid w:val="0034710B"/>
    <w:pPr>
      <w:autoSpaceDN/>
      <w:spacing w:after="0" w:line="240" w:lineRule="auto"/>
    </w:pPr>
  </w:style>
  <w:style w:type="paragraph" w:styleId="Pidipagina">
    <w:name w:val="footer"/>
    <w:basedOn w:val="Normale"/>
    <w:link w:val="PidipaginaCarattere"/>
    <w:uiPriority w:val="99"/>
    <w:unhideWhenUsed/>
    <w:rsid w:val="00117C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17C24"/>
  </w:style>
  <w:style w:type="paragraph" w:styleId="Intestazione">
    <w:name w:val="header"/>
    <w:basedOn w:val="Normale"/>
    <w:link w:val="IntestazioneCarattere"/>
    <w:uiPriority w:val="99"/>
    <w:unhideWhenUsed/>
    <w:rsid w:val="009E02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E0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0198">
      <w:bodyDiv w:val="1"/>
      <w:marLeft w:val="0"/>
      <w:marRight w:val="0"/>
      <w:marTop w:val="0"/>
      <w:marBottom w:val="0"/>
      <w:divBdr>
        <w:top w:val="none" w:sz="0" w:space="0" w:color="auto"/>
        <w:left w:val="none" w:sz="0" w:space="0" w:color="auto"/>
        <w:bottom w:val="none" w:sz="0" w:space="0" w:color="auto"/>
        <w:right w:val="none" w:sz="0" w:space="0" w:color="auto"/>
      </w:divBdr>
    </w:div>
    <w:div w:id="250551597">
      <w:bodyDiv w:val="1"/>
      <w:marLeft w:val="0"/>
      <w:marRight w:val="0"/>
      <w:marTop w:val="0"/>
      <w:marBottom w:val="0"/>
      <w:divBdr>
        <w:top w:val="none" w:sz="0" w:space="0" w:color="auto"/>
        <w:left w:val="none" w:sz="0" w:space="0" w:color="auto"/>
        <w:bottom w:val="none" w:sz="0" w:space="0" w:color="auto"/>
        <w:right w:val="none" w:sz="0" w:space="0" w:color="auto"/>
      </w:divBdr>
    </w:div>
    <w:div w:id="334918776">
      <w:bodyDiv w:val="1"/>
      <w:marLeft w:val="0"/>
      <w:marRight w:val="0"/>
      <w:marTop w:val="0"/>
      <w:marBottom w:val="0"/>
      <w:divBdr>
        <w:top w:val="none" w:sz="0" w:space="0" w:color="auto"/>
        <w:left w:val="none" w:sz="0" w:space="0" w:color="auto"/>
        <w:bottom w:val="none" w:sz="0" w:space="0" w:color="auto"/>
        <w:right w:val="none" w:sz="0" w:space="0" w:color="auto"/>
      </w:divBdr>
    </w:div>
    <w:div w:id="556824731">
      <w:bodyDiv w:val="1"/>
      <w:marLeft w:val="0"/>
      <w:marRight w:val="0"/>
      <w:marTop w:val="0"/>
      <w:marBottom w:val="0"/>
      <w:divBdr>
        <w:top w:val="none" w:sz="0" w:space="0" w:color="auto"/>
        <w:left w:val="none" w:sz="0" w:space="0" w:color="auto"/>
        <w:bottom w:val="none" w:sz="0" w:space="0" w:color="auto"/>
        <w:right w:val="none" w:sz="0" w:space="0" w:color="auto"/>
      </w:divBdr>
    </w:div>
    <w:div w:id="615597475">
      <w:bodyDiv w:val="1"/>
      <w:marLeft w:val="0"/>
      <w:marRight w:val="0"/>
      <w:marTop w:val="0"/>
      <w:marBottom w:val="0"/>
      <w:divBdr>
        <w:top w:val="none" w:sz="0" w:space="0" w:color="auto"/>
        <w:left w:val="none" w:sz="0" w:space="0" w:color="auto"/>
        <w:bottom w:val="none" w:sz="0" w:space="0" w:color="auto"/>
        <w:right w:val="none" w:sz="0" w:space="0" w:color="auto"/>
      </w:divBdr>
    </w:div>
    <w:div w:id="719285840">
      <w:bodyDiv w:val="1"/>
      <w:marLeft w:val="0"/>
      <w:marRight w:val="0"/>
      <w:marTop w:val="0"/>
      <w:marBottom w:val="0"/>
      <w:divBdr>
        <w:top w:val="none" w:sz="0" w:space="0" w:color="auto"/>
        <w:left w:val="none" w:sz="0" w:space="0" w:color="auto"/>
        <w:bottom w:val="none" w:sz="0" w:space="0" w:color="auto"/>
        <w:right w:val="none" w:sz="0" w:space="0" w:color="auto"/>
      </w:divBdr>
    </w:div>
    <w:div w:id="753162022">
      <w:bodyDiv w:val="1"/>
      <w:marLeft w:val="0"/>
      <w:marRight w:val="0"/>
      <w:marTop w:val="0"/>
      <w:marBottom w:val="0"/>
      <w:divBdr>
        <w:top w:val="none" w:sz="0" w:space="0" w:color="auto"/>
        <w:left w:val="none" w:sz="0" w:space="0" w:color="auto"/>
        <w:bottom w:val="none" w:sz="0" w:space="0" w:color="auto"/>
        <w:right w:val="none" w:sz="0" w:space="0" w:color="auto"/>
      </w:divBdr>
    </w:div>
    <w:div w:id="828979433">
      <w:bodyDiv w:val="1"/>
      <w:marLeft w:val="0"/>
      <w:marRight w:val="0"/>
      <w:marTop w:val="0"/>
      <w:marBottom w:val="0"/>
      <w:divBdr>
        <w:top w:val="none" w:sz="0" w:space="0" w:color="auto"/>
        <w:left w:val="none" w:sz="0" w:space="0" w:color="auto"/>
        <w:bottom w:val="none" w:sz="0" w:space="0" w:color="auto"/>
        <w:right w:val="none" w:sz="0" w:space="0" w:color="auto"/>
      </w:divBdr>
    </w:div>
    <w:div w:id="833377295">
      <w:bodyDiv w:val="1"/>
      <w:marLeft w:val="0"/>
      <w:marRight w:val="0"/>
      <w:marTop w:val="0"/>
      <w:marBottom w:val="0"/>
      <w:divBdr>
        <w:top w:val="none" w:sz="0" w:space="0" w:color="auto"/>
        <w:left w:val="none" w:sz="0" w:space="0" w:color="auto"/>
        <w:bottom w:val="none" w:sz="0" w:space="0" w:color="auto"/>
        <w:right w:val="none" w:sz="0" w:space="0" w:color="auto"/>
      </w:divBdr>
    </w:div>
    <w:div w:id="895513576">
      <w:bodyDiv w:val="1"/>
      <w:marLeft w:val="0"/>
      <w:marRight w:val="0"/>
      <w:marTop w:val="0"/>
      <w:marBottom w:val="0"/>
      <w:divBdr>
        <w:top w:val="none" w:sz="0" w:space="0" w:color="auto"/>
        <w:left w:val="none" w:sz="0" w:space="0" w:color="auto"/>
        <w:bottom w:val="none" w:sz="0" w:space="0" w:color="auto"/>
        <w:right w:val="none" w:sz="0" w:space="0" w:color="auto"/>
      </w:divBdr>
    </w:div>
    <w:div w:id="1116295007">
      <w:bodyDiv w:val="1"/>
      <w:marLeft w:val="0"/>
      <w:marRight w:val="0"/>
      <w:marTop w:val="0"/>
      <w:marBottom w:val="0"/>
      <w:divBdr>
        <w:top w:val="none" w:sz="0" w:space="0" w:color="auto"/>
        <w:left w:val="none" w:sz="0" w:space="0" w:color="auto"/>
        <w:bottom w:val="none" w:sz="0" w:space="0" w:color="auto"/>
        <w:right w:val="none" w:sz="0" w:space="0" w:color="auto"/>
      </w:divBdr>
    </w:div>
    <w:div w:id="1133446356">
      <w:bodyDiv w:val="1"/>
      <w:marLeft w:val="0"/>
      <w:marRight w:val="0"/>
      <w:marTop w:val="0"/>
      <w:marBottom w:val="0"/>
      <w:divBdr>
        <w:top w:val="none" w:sz="0" w:space="0" w:color="auto"/>
        <w:left w:val="none" w:sz="0" w:space="0" w:color="auto"/>
        <w:bottom w:val="none" w:sz="0" w:space="0" w:color="auto"/>
        <w:right w:val="none" w:sz="0" w:space="0" w:color="auto"/>
      </w:divBdr>
    </w:div>
    <w:div w:id="1148597829">
      <w:bodyDiv w:val="1"/>
      <w:marLeft w:val="0"/>
      <w:marRight w:val="0"/>
      <w:marTop w:val="0"/>
      <w:marBottom w:val="0"/>
      <w:divBdr>
        <w:top w:val="none" w:sz="0" w:space="0" w:color="auto"/>
        <w:left w:val="none" w:sz="0" w:space="0" w:color="auto"/>
        <w:bottom w:val="none" w:sz="0" w:space="0" w:color="auto"/>
        <w:right w:val="none" w:sz="0" w:space="0" w:color="auto"/>
      </w:divBdr>
    </w:div>
    <w:div w:id="1164659134">
      <w:bodyDiv w:val="1"/>
      <w:marLeft w:val="0"/>
      <w:marRight w:val="0"/>
      <w:marTop w:val="0"/>
      <w:marBottom w:val="0"/>
      <w:divBdr>
        <w:top w:val="none" w:sz="0" w:space="0" w:color="auto"/>
        <w:left w:val="none" w:sz="0" w:space="0" w:color="auto"/>
        <w:bottom w:val="none" w:sz="0" w:space="0" w:color="auto"/>
        <w:right w:val="none" w:sz="0" w:space="0" w:color="auto"/>
      </w:divBdr>
    </w:div>
    <w:div w:id="1290087905">
      <w:bodyDiv w:val="1"/>
      <w:marLeft w:val="0"/>
      <w:marRight w:val="0"/>
      <w:marTop w:val="0"/>
      <w:marBottom w:val="0"/>
      <w:divBdr>
        <w:top w:val="none" w:sz="0" w:space="0" w:color="auto"/>
        <w:left w:val="none" w:sz="0" w:space="0" w:color="auto"/>
        <w:bottom w:val="none" w:sz="0" w:space="0" w:color="auto"/>
        <w:right w:val="none" w:sz="0" w:space="0" w:color="auto"/>
      </w:divBdr>
    </w:div>
    <w:div w:id="1497916028">
      <w:bodyDiv w:val="1"/>
      <w:marLeft w:val="0"/>
      <w:marRight w:val="0"/>
      <w:marTop w:val="0"/>
      <w:marBottom w:val="0"/>
      <w:divBdr>
        <w:top w:val="none" w:sz="0" w:space="0" w:color="auto"/>
        <w:left w:val="none" w:sz="0" w:space="0" w:color="auto"/>
        <w:bottom w:val="none" w:sz="0" w:space="0" w:color="auto"/>
        <w:right w:val="none" w:sz="0" w:space="0" w:color="auto"/>
      </w:divBdr>
    </w:div>
    <w:div w:id="1609853450">
      <w:bodyDiv w:val="1"/>
      <w:marLeft w:val="0"/>
      <w:marRight w:val="0"/>
      <w:marTop w:val="0"/>
      <w:marBottom w:val="0"/>
      <w:divBdr>
        <w:top w:val="none" w:sz="0" w:space="0" w:color="auto"/>
        <w:left w:val="none" w:sz="0" w:space="0" w:color="auto"/>
        <w:bottom w:val="none" w:sz="0" w:space="0" w:color="auto"/>
        <w:right w:val="none" w:sz="0" w:space="0" w:color="auto"/>
      </w:divBdr>
    </w:div>
    <w:div w:id="1712613762">
      <w:bodyDiv w:val="1"/>
      <w:marLeft w:val="0"/>
      <w:marRight w:val="0"/>
      <w:marTop w:val="0"/>
      <w:marBottom w:val="0"/>
      <w:divBdr>
        <w:top w:val="none" w:sz="0" w:space="0" w:color="auto"/>
        <w:left w:val="none" w:sz="0" w:space="0" w:color="auto"/>
        <w:bottom w:val="none" w:sz="0" w:space="0" w:color="auto"/>
        <w:right w:val="none" w:sz="0" w:space="0" w:color="auto"/>
      </w:divBdr>
    </w:div>
    <w:div w:id="1920747089">
      <w:bodyDiv w:val="1"/>
      <w:marLeft w:val="0"/>
      <w:marRight w:val="0"/>
      <w:marTop w:val="0"/>
      <w:marBottom w:val="0"/>
      <w:divBdr>
        <w:top w:val="none" w:sz="0" w:space="0" w:color="auto"/>
        <w:left w:val="none" w:sz="0" w:space="0" w:color="auto"/>
        <w:bottom w:val="none" w:sz="0" w:space="0" w:color="auto"/>
        <w:right w:val="none" w:sz="0" w:space="0" w:color="auto"/>
      </w:divBdr>
    </w:div>
    <w:div w:id="1953436647">
      <w:bodyDiv w:val="1"/>
      <w:marLeft w:val="0"/>
      <w:marRight w:val="0"/>
      <w:marTop w:val="0"/>
      <w:marBottom w:val="0"/>
      <w:divBdr>
        <w:top w:val="none" w:sz="0" w:space="0" w:color="auto"/>
        <w:left w:val="none" w:sz="0" w:space="0" w:color="auto"/>
        <w:bottom w:val="none" w:sz="0" w:space="0" w:color="auto"/>
        <w:right w:val="none" w:sz="0" w:space="0" w:color="auto"/>
      </w:divBdr>
    </w:div>
    <w:div w:id="1987465468">
      <w:bodyDiv w:val="1"/>
      <w:marLeft w:val="0"/>
      <w:marRight w:val="0"/>
      <w:marTop w:val="0"/>
      <w:marBottom w:val="0"/>
      <w:divBdr>
        <w:top w:val="none" w:sz="0" w:space="0" w:color="auto"/>
        <w:left w:val="none" w:sz="0" w:space="0" w:color="auto"/>
        <w:bottom w:val="none" w:sz="0" w:space="0" w:color="auto"/>
        <w:right w:val="none" w:sz="0" w:space="0" w:color="auto"/>
      </w:divBdr>
    </w:div>
    <w:div w:id="2042318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9330f1-e4ad-4dd4-b75f-00f02e12f10d">
      <Terms xmlns="http://schemas.microsoft.com/office/infopath/2007/PartnerControls"/>
    </lcf76f155ced4ddcb4097134ff3c332f>
    <TaxCatchAll xmlns="a375e44b-c457-4560-b51e-a4175ada1a1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FDFB4429D51543823613E82BD178A7" ma:contentTypeVersion="18" ma:contentTypeDescription="Create a new document." ma:contentTypeScope="" ma:versionID="7bb787c72fc245ca3baa608f0f1008ff">
  <xsd:schema xmlns:xsd="http://www.w3.org/2001/XMLSchema" xmlns:xs="http://www.w3.org/2001/XMLSchema" xmlns:p="http://schemas.microsoft.com/office/2006/metadata/properties" xmlns:ns2="709330f1-e4ad-4dd4-b75f-00f02e12f10d" xmlns:ns3="a375e44b-c457-4560-b51e-a4175ada1a15" targetNamespace="http://schemas.microsoft.com/office/2006/metadata/properties" ma:root="true" ma:fieldsID="1875870df2523e45055710ceae62a9ee" ns2:_="" ns3:_="">
    <xsd:import namespace="709330f1-e4ad-4dd4-b75f-00f02e12f10d"/>
    <xsd:import namespace="a375e44b-c457-4560-b51e-a4175ada1a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330f1-e4ad-4dd4-b75f-00f02e12f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659718-a837-4778-8fd6-7ca9ac0bcf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75e44b-c457-4560-b51e-a4175ada1a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7dbd34-2d38-4659-92b1-f356b1e2d33f}" ma:internalName="TaxCatchAll" ma:showField="CatchAllData" ma:web="a375e44b-c457-4560-b51e-a4175ada1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A02BA-59CF-4BEC-A4AE-FCFB8D41298C}">
  <ds:schemaRefs>
    <ds:schemaRef ds:uri="http://schemas.microsoft.com/sharepoint/v3/contenttype/forms"/>
  </ds:schemaRefs>
</ds:datastoreItem>
</file>

<file path=customXml/itemProps2.xml><?xml version="1.0" encoding="utf-8"?>
<ds:datastoreItem xmlns:ds="http://schemas.openxmlformats.org/officeDocument/2006/customXml" ds:itemID="{BF3FC08D-A24A-450B-A7D4-7493CAB13199}">
  <ds:schemaRefs>
    <ds:schemaRef ds:uri="http://schemas.microsoft.com/office/2006/metadata/properties"/>
    <ds:schemaRef ds:uri="http://schemas.microsoft.com/office/infopath/2007/PartnerControls"/>
    <ds:schemaRef ds:uri="709330f1-e4ad-4dd4-b75f-00f02e12f10d"/>
    <ds:schemaRef ds:uri="a375e44b-c457-4560-b51e-a4175ada1a15"/>
  </ds:schemaRefs>
</ds:datastoreItem>
</file>

<file path=customXml/itemProps3.xml><?xml version="1.0" encoding="utf-8"?>
<ds:datastoreItem xmlns:ds="http://schemas.openxmlformats.org/officeDocument/2006/customXml" ds:itemID="{A31297C6-A79F-453E-B5F2-5555B84B7BF4}">
  <ds:schemaRefs>
    <ds:schemaRef ds:uri="http://schemas.openxmlformats.org/officeDocument/2006/bibliography"/>
  </ds:schemaRefs>
</ds:datastoreItem>
</file>

<file path=customXml/itemProps4.xml><?xml version="1.0" encoding="utf-8"?>
<ds:datastoreItem xmlns:ds="http://schemas.openxmlformats.org/officeDocument/2006/customXml" ds:itemID="{5CDCA471-F13C-41BB-A7D2-6FF0219BB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330f1-e4ad-4dd4-b75f-00f02e12f10d"/>
    <ds:schemaRef ds:uri="a375e44b-c457-4560-b51e-a4175ada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e255aed-7de2-497a-9b96-4de850d7aec7}"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6025</Words>
  <Characters>34349</Characters>
  <Application>Microsoft Office Word</Application>
  <DocSecurity>0</DocSecurity>
  <Lines>286</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Edoardo Spera</cp:lastModifiedBy>
  <cp:revision>3</cp:revision>
  <cp:lastPrinted>2025-06-04T10:36:00Z</cp:lastPrinted>
  <dcterms:created xsi:type="dcterms:W3CDTF">2025-06-04T10:36:00Z</dcterms:created>
  <dcterms:modified xsi:type="dcterms:W3CDTF">2025-06-04T10:36:00Z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0x01010043FDFB4429D51543823613E82BD178A7</vt:lpwstr>
  </property>
  <property fmtid="{D5CDD505-2E9C-101B-9397-08002B2CF9AE}" pid="3" name="MediaServiceImageTags">
    <vt:lpwstr/>
  </property>
  <property fmtid="{D5CDD505-2E9C-101B-9397-08002B2CF9AE}" pid="4" name="ClassificationContentMarkingFooterShapeIds">
    <vt:lpwstr>18195bdc,63117e32,6c85fbd9</vt:lpwstr>
  </property>
  <property fmtid="{D5CDD505-2E9C-101B-9397-08002B2CF9AE}" pid="5" name="ClassificationContentMarkingFooterFontProps">
    <vt:lpwstr>#737373,9,Arial</vt:lpwstr>
  </property>
  <property fmtid="{D5CDD505-2E9C-101B-9397-08002B2CF9AE}" pid="6" name="ClassificationContentMarkingFooterText">
    <vt:lpwstr>Interno – Internal</vt:lpwstr>
  </property>
</Properties>
</file>