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ECEBEB" w14:textId="3D942B0C" w:rsidR="00FD4A3A" w:rsidRPr="006868AB" w:rsidRDefault="00FD4A3A" w:rsidP="00556F4C">
      <w:pPr>
        <w:tabs>
          <w:tab w:val="left" w:pos="1254"/>
          <w:tab w:val="center" w:pos="4819"/>
        </w:tabs>
        <w:spacing w:after="60"/>
        <w:jc w:val="center"/>
        <w:rPr>
          <w:rFonts w:ascii="Arial Narrow" w:eastAsia="Times New Roman" w:hAnsi="Arial Narrow" w:cs="Arial"/>
          <w:b/>
          <w:caps/>
          <w:color w:val="7F7F7F"/>
          <w:sz w:val="20"/>
          <w:szCs w:val="20"/>
          <w:lang w:eastAsia="it-IT"/>
        </w:rPr>
      </w:pPr>
    </w:p>
    <w:p w14:paraId="4D2378C0" w14:textId="2DE1FE65" w:rsidR="002717C6" w:rsidRPr="00A17E82" w:rsidRDefault="002717C6" w:rsidP="00702911">
      <w:pPr>
        <w:tabs>
          <w:tab w:val="left" w:pos="1254"/>
          <w:tab w:val="center" w:pos="4819"/>
        </w:tabs>
        <w:spacing w:after="60"/>
        <w:ind w:right="-1"/>
        <w:rPr>
          <w:rFonts w:ascii="Arial Narrow" w:eastAsia="Times New Roman" w:hAnsi="Arial Narrow" w:cs="Arial"/>
          <w:b/>
          <w:caps/>
          <w:color w:val="289AD1"/>
          <w:sz w:val="56"/>
          <w:szCs w:val="56"/>
          <w:lang w:eastAsia="it-IT"/>
        </w:rPr>
      </w:pPr>
      <w:r w:rsidRPr="00A17E82">
        <w:rPr>
          <w:rFonts w:ascii="Arial Narrow" w:eastAsia="Times New Roman" w:hAnsi="Arial Narrow" w:cs="Arial"/>
          <w:b/>
          <w:caps/>
          <w:color w:val="289AD1"/>
          <w:sz w:val="56"/>
          <w:szCs w:val="56"/>
          <w:lang w:eastAsia="it-IT"/>
        </w:rPr>
        <w:t xml:space="preserve">Rapporto </w:t>
      </w:r>
      <w:proofErr w:type="spellStart"/>
      <w:r w:rsidRPr="00A17E82">
        <w:rPr>
          <w:rFonts w:ascii="Arial Narrow" w:eastAsia="Times New Roman" w:hAnsi="Arial Narrow" w:cs="Arial"/>
          <w:b/>
          <w:caps/>
          <w:color w:val="289AD1"/>
          <w:sz w:val="56"/>
          <w:szCs w:val="56"/>
          <w:lang w:eastAsia="it-IT"/>
        </w:rPr>
        <w:t>SDG</w:t>
      </w:r>
      <w:r w:rsidR="00DB0A09">
        <w:rPr>
          <w:rFonts w:ascii="Arial Narrow" w:eastAsia="Times New Roman" w:hAnsi="Arial Narrow" w:cs="Arial"/>
          <w:b/>
          <w:color w:val="289AD1"/>
          <w:sz w:val="56"/>
          <w:szCs w:val="56"/>
          <w:lang w:eastAsia="it-IT"/>
        </w:rPr>
        <w:t>s</w:t>
      </w:r>
      <w:proofErr w:type="spellEnd"/>
      <w:r w:rsidRPr="00A17E82">
        <w:rPr>
          <w:rFonts w:ascii="Arial Narrow" w:eastAsia="Times New Roman" w:hAnsi="Arial Narrow" w:cs="Arial"/>
          <w:b/>
          <w:caps/>
          <w:color w:val="289AD1"/>
          <w:sz w:val="56"/>
          <w:szCs w:val="56"/>
          <w:lang w:eastAsia="it-IT"/>
        </w:rPr>
        <w:t xml:space="preserve"> 20</w:t>
      </w:r>
      <w:r w:rsidR="00F31F48">
        <w:rPr>
          <w:rFonts w:ascii="Arial Narrow" w:eastAsia="Times New Roman" w:hAnsi="Arial Narrow" w:cs="Arial"/>
          <w:b/>
          <w:caps/>
          <w:color w:val="289AD1"/>
          <w:sz w:val="56"/>
          <w:szCs w:val="56"/>
          <w:lang w:eastAsia="it-IT"/>
        </w:rPr>
        <w:t>2</w:t>
      </w:r>
      <w:r w:rsidR="005E3F28">
        <w:rPr>
          <w:rFonts w:ascii="Arial Narrow" w:eastAsia="Times New Roman" w:hAnsi="Arial Narrow" w:cs="Arial"/>
          <w:b/>
          <w:caps/>
          <w:color w:val="289AD1"/>
          <w:sz w:val="56"/>
          <w:szCs w:val="56"/>
          <w:lang w:eastAsia="it-IT"/>
        </w:rPr>
        <w:t>3</w:t>
      </w:r>
    </w:p>
    <w:p w14:paraId="64DC4A8B" w14:textId="334B9947" w:rsidR="002717C6" w:rsidRPr="00A17E82" w:rsidRDefault="002717C6" w:rsidP="00702911">
      <w:pPr>
        <w:spacing w:after="0" w:line="240" w:lineRule="auto"/>
        <w:ind w:right="-1"/>
        <w:rPr>
          <w:rFonts w:ascii="Arial Narrow" w:eastAsia="Times New Roman" w:hAnsi="Arial Narrow" w:cs="Arial"/>
          <w:caps/>
          <w:color w:val="7F7F7F"/>
          <w:sz w:val="44"/>
          <w:szCs w:val="44"/>
          <w:lang w:eastAsia="it-IT"/>
        </w:rPr>
      </w:pPr>
      <w:r w:rsidRPr="00A17E82">
        <w:rPr>
          <w:rFonts w:ascii="Arial Narrow" w:eastAsia="Times New Roman" w:hAnsi="Arial Narrow" w:cs="Arial"/>
          <w:caps/>
          <w:color w:val="7F7F7F"/>
          <w:sz w:val="44"/>
          <w:szCs w:val="44"/>
          <w:lang w:eastAsia="it-IT"/>
        </w:rPr>
        <w:t>Informazioni statistiche</w:t>
      </w:r>
    </w:p>
    <w:p w14:paraId="7224ACCE" w14:textId="77777777" w:rsidR="002717C6" w:rsidRPr="00A17E82" w:rsidRDefault="002717C6" w:rsidP="00702911">
      <w:pPr>
        <w:spacing w:after="0" w:line="240" w:lineRule="auto"/>
        <w:ind w:right="-1"/>
        <w:rPr>
          <w:rFonts w:ascii="Arial Narrow" w:eastAsia="Times New Roman" w:hAnsi="Arial Narrow" w:cs="Arial"/>
          <w:caps/>
          <w:color w:val="7F7F7F"/>
          <w:sz w:val="44"/>
          <w:szCs w:val="44"/>
          <w:lang w:eastAsia="it-IT"/>
        </w:rPr>
      </w:pPr>
      <w:r w:rsidRPr="00A17E82">
        <w:rPr>
          <w:rFonts w:ascii="Arial Narrow" w:eastAsia="Times New Roman" w:hAnsi="Arial Narrow" w:cs="Arial"/>
          <w:caps/>
          <w:color w:val="7F7F7F"/>
          <w:sz w:val="44"/>
          <w:szCs w:val="44"/>
          <w:lang w:eastAsia="it-IT"/>
        </w:rPr>
        <w:t>per l’Agenda 2030 in Italia</w:t>
      </w:r>
    </w:p>
    <w:p w14:paraId="040653C6" w14:textId="77777777" w:rsidR="002717C6" w:rsidRDefault="002717C6" w:rsidP="00C14363">
      <w:pPr>
        <w:pStyle w:val="Titolo2"/>
        <w:spacing w:before="0" w:after="120" w:line="240" w:lineRule="auto"/>
        <w:ind w:right="-59"/>
        <w:jc w:val="both"/>
        <w:rPr>
          <w:rFonts w:ascii="Arial" w:hAnsi="Arial" w:cs="Arial"/>
          <w:i/>
          <w:sz w:val="20"/>
          <w:szCs w:val="20"/>
        </w:rPr>
      </w:pPr>
    </w:p>
    <w:p w14:paraId="6A7EF557" w14:textId="67E814FB" w:rsidR="00FB3628" w:rsidRPr="00B7109E" w:rsidRDefault="005A4C06" w:rsidP="00C14363">
      <w:pPr>
        <w:spacing w:after="120" w:line="240" w:lineRule="auto"/>
        <w:jc w:val="both"/>
        <w:rPr>
          <w:rFonts w:ascii="Arial" w:eastAsia="Times New Roman" w:hAnsi="Arial" w:cs="Arial"/>
          <w:bCs/>
          <w:iCs/>
          <w:sz w:val="20"/>
          <w:szCs w:val="20"/>
        </w:rPr>
      </w:pPr>
      <w:r w:rsidRPr="00B7109E">
        <w:rPr>
          <w:rFonts w:ascii="Arial" w:eastAsia="Times New Roman" w:hAnsi="Arial" w:cs="Arial"/>
          <w:bCs/>
          <w:iCs/>
          <w:sz w:val="20"/>
          <w:szCs w:val="20"/>
        </w:rPr>
        <w:t xml:space="preserve">Il </w:t>
      </w:r>
      <w:r w:rsidR="005E3F28" w:rsidRPr="00B7109E">
        <w:rPr>
          <w:rFonts w:ascii="Arial" w:eastAsia="Times New Roman" w:hAnsi="Arial" w:cs="Arial"/>
          <w:bCs/>
          <w:iCs/>
          <w:sz w:val="20"/>
          <w:szCs w:val="20"/>
        </w:rPr>
        <w:t>Rapporto Istat sugli Obiettivi di Sviluppo Sostenibile (</w:t>
      </w:r>
      <w:proofErr w:type="spellStart"/>
      <w:r w:rsidR="005E3F28" w:rsidRPr="00B7109E">
        <w:rPr>
          <w:rFonts w:ascii="Arial" w:eastAsia="Times New Roman" w:hAnsi="Arial" w:cs="Arial"/>
          <w:bCs/>
          <w:i/>
          <w:iCs/>
          <w:sz w:val="20"/>
          <w:szCs w:val="20"/>
        </w:rPr>
        <w:t>Sustainable</w:t>
      </w:r>
      <w:proofErr w:type="spellEnd"/>
      <w:r w:rsidR="005E3F28" w:rsidRPr="00B7109E">
        <w:rPr>
          <w:rFonts w:ascii="Arial" w:eastAsia="Times New Roman" w:hAnsi="Arial" w:cs="Arial"/>
          <w:bCs/>
          <w:i/>
          <w:iCs/>
          <w:sz w:val="20"/>
          <w:szCs w:val="20"/>
        </w:rPr>
        <w:t xml:space="preserve"> Development </w:t>
      </w:r>
      <w:proofErr w:type="spellStart"/>
      <w:r w:rsidR="005E3F28" w:rsidRPr="00B7109E">
        <w:rPr>
          <w:rFonts w:ascii="Arial" w:eastAsia="Times New Roman" w:hAnsi="Arial" w:cs="Arial"/>
          <w:bCs/>
          <w:i/>
          <w:iCs/>
          <w:sz w:val="20"/>
          <w:szCs w:val="20"/>
        </w:rPr>
        <w:t>Goals</w:t>
      </w:r>
      <w:proofErr w:type="spellEnd"/>
      <w:r w:rsidR="005E3F28" w:rsidRPr="00B7109E">
        <w:rPr>
          <w:rFonts w:ascii="Arial" w:eastAsia="Times New Roman" w:hAnsi="Arial" w:cs="Arial"/>
          <w:bCs/>
          <w:iCs/>
          <w:sz w:val="20"/>
          <w:szCs w:val="20"/>
        </w:rPr>
        <w:t xml:space="preserve"> – </w:t>
      </w:r>
      <w:proofErr w:type="spellStart"/>
      <w:r w:rsidR="005E3F28" w:rsidRPr="00B7109E">
        <w:rPr>
          <w:rFonts w:ascii="Arial" w:eastAsia="Times New Roman" w:hAnsi="Arial" w:cs="Arial"/>
          <w:bCs/>
          <w:iCs/>
          <w:sz w:val="20"/>
          <w:szCs w:val="20"/>
        </w:rPr>
        <w:t>SDGs</w:t>
      </w:r>
      <w:proofErr w:type="spellEnd"/>
      <w:r w:rsidR="005E3F28" w:rsidRPr="00B7109E">
        <w:rPr>
          <w:rFonts w:ascii="Arial" w:eastAsia="Times New Roman" w:hAnsi="Arial" w:cs="Arial"/>
          <w:bCs/>
          <w:iCs/>
          <w:sz w:val="20"/>
          <w:szCs w:val="20"/>
        </w:rPr>
        <w:t xml:space="preserve">) </w:t>
      </w:r>
      <w:r w:rsidR="0077487E" w:rsidRPr="00B7109E">
        <w:rPr>
          <w:rFonts w:ascii="Arial" w:eastAsia="Times New Roman" w:hAnsi="Arial" w:cs="Arial"/>
          <w:bCs/>
          <w:iCs/>
          <w:sz w:val="20"/>
          <w:szCs w:val="20"/>
        </w:rPr>
        <w:t xml:space="preserve">presenta l’aggiornamento e l’analisi </w:t>
      </w:r>
      <w:r w:rsidR="00F91D1B" w:rsidRPr="00B7109E">
        <w:rPr>
          <w:rFonts w:ascii="Arial" w:eastAsia="Times New Roman" w:hAnsi="Arial" w:cs="Arial"/>
          <w:bCs/>
          <w:iCs/>
          <w:sz w:val="20"/>
          <w:szCs w:val="20"/>
        </w:rPr>
        <w:t>del</w:t>
      </w:r>
      <w:r w:rsidRPr="00B7109E">
        <w:rPr>
          <w:rFonts w:ascii="Arial" w:eastAsia="Times New Roman" w:hAnsi="Arial" w:cs="Arial"/>
          <w:bCs/>
          <w:iCs/>
          <w:sz w:val="20"/>
          <w:szCs w:val="20"/>
        </w:rPr>
        <w:t>le misure statistiche finalizzate al monitoraggio dell’Agenda 2030 per il nostro Paese</w:t>
      </w:r>
      <w:r w:rsidR="00EA6F22" w:rsidRPr="00B7109E">
        <w:rPr>
          <w:rFonts w:ascii="Arial" w:eastAsia="Times New Roman" w:hAnsi="Arial" w:cs="Arial"/>
          <w:bCs/>
          <w:iCs/>
          <w:sz w:val="20"/>
          <w:szCs w:val="20"/>
        </w:rPr>
        <w:t xml:space="preserve">, </w:t>
      </w:r>
      <w:r w:rsidRPr="00B7109E">
        <w:rPr>
          <w:rFonts w:ascii="Arial" w:eastAsia="Times New Roman" w:hAnsi="Arial" w:cs="Arial"/>
          <w:bCs/>
          <w:iCs/>
          <w:sz w:val="20"/>
          <w:szCs w:val="20"/>
        </w:rPr>
        <w:t>contribu</w:t>
      </w:r>
      <w:r w:rsidR="00EA6F22" w:rsidRPr="00B7109E">
        <w:rPr>
          <w:rFonts w:ascii="Arial" w:eastAsia="Times New Roman" w:hAnsi="Arial" w:cs="Arial"/>
          <w:bCs/>
          <w:iCs/>
          <w:sz w:val="20"/>
          <w:szCs w:val="20"/>
        </w:rPr>
        <w:t xml:space="preserve">endo </w:t>
      </w:r>
      <w:r w:rsidRPr="00B7109E">
        <w:rPr>
          <w:rFonts w:ascii="Arial" w:eastAsia="Times New Roman" w:hAnsi="Arial" w:cs="Arial"/>
          <w:bCs/>
          <w:iCs/>
          <w:sz w:val="20"/>
          <w:szCs w:val="20"/>
        </w:rPr>
        <w:t xml:space="preserve">alla realizzazione di questo </w:t>
      </w:r>
      <w:r w:rsidR="005E3F28" w:rsidRPr="00B7109E">
        <w:rPr>
          <w:rFonts w:ascii="Arial" w:eastAsia="Times New Roman" w:hAnsi="Arial" w:cs="Arial"/>
          <w:bCs/>
          <w:iCs/>
          <w:sz w:val="20"/>
          <w:szCs w:val="20"/>
        </w:rPr>
        <w:t xml:space="preserve">importante </w:t>
      </w:r>
      <w:r w:rsidRPr="00B7109E">
        <w:rPr>
          <w:rFonts w:ascii="Arial" w:eastAsia="Times New Roman" w:hAnsi="Arial" w:cs="Arial"/>
          <w:bCs/>
          <w:iCs/>
          <w:sz w:val="20"/>
          <w:szCs w:val="20"/>
        </w:rPr>
        <w:t>progetto globale</w:t>
      </w:r>
      <w:r w:rsidR="006E7CB4" w:rsidRPr="00B7109E">
        <w:rPr>
          <w:rFonts w:ascii="Arial" w:eastAsia="Times New Roman" w:hAnsi="Arial" w:cs="Arial"/>
          <w:bCs/>
          <w:iCs/>
          <w:sz w:val="20"/>
          <w:szCs w:val="20"/>
          <w:vertAlign w:val="superscript"/>
        </w:rPr>
        <w:footnoteReference w:id="1"/>
      </w:r>
      <w:r w:rsidR="00FB3628" w:rsidRPr="00B7109E">
        <w:rPr>
          <w:rFonts w:ascii="Arial" w:eastAsia="Times New Roman" w:hAnsi="Arial" w:cs="Arial"/>
          <w:bCs/>
          <w:iCs/>
          <w:sz w:val="20"/>
          <w:szCs w:val="20"/>
        </w:rPr>
        <w:t xml:space="preserve">.  </w:t>
      </w:r>
    </w:p>
    <w:p w14:paraId="05D60A14" w14:textId="6B99204D" w:rsidR="006E7CB4" w:rsidRPr="00B7109E" w:rsidRDefault="00FB3628" w:rsidP="00C14363">
      <w:pPr>
        <w:spacing w:after="120" w:line="240" w:lineRule="auto"/>
        <w:jc w:val="both"/>
        <w:rPr>
          <w:rFonts w:ascii="Arial" w:eastAsia="Times New Roman" w:hAnsi="Arial" w:cs="Arial"/>
          <w:bCs/>
          <w:iCs/>
          <w:sz w:val="20"/>
          <w:szCs w:val="20"/>
        </w:rPr>
      </w:pPr>
      <w:r w:rsidRPr="00B7109E">
        <w:rPr>
          <w:rFonts w:ascii="Arial" w:eastAsia="Times New Roman" w:hAnsi="Arial" w:cs="Arial"/>
          <w:bCs/>
          <w:iCs/>
          <w:sz w:val="20"/>
          <w:szCs w:val="20"/>
        </w:rPr>
        <w:t xml:space="preserve">I 17 </w:t>
      </w:r>
      <w:proofErr w:type="spellStart"/>
      <w:r w:rsidRPr="00B7109E">
        <w:rPr>
          <w:rFonts w:ascii="Arial" w:eastAsia="Times New Roman" w:hAnsi="Arial" w:cs="Arial"/>
          <w:bCs/>
          <w:iCs/>
          <w:sz w:val="20"/>
          <w:szCs w:val="20"/>
        </w:rPr>
        <w:t>SDGs</w:t>
      </w:r>
      <w:proofErr w:type="spellEnd"/>
      <w:r w:rsidRPr="00B7109E">
        <w:rPr>
          <w:rFonts w:ascii="Arial" w:eastAsia="Times New Roman" w:hAnsi="Arial" w:cs="Arial"/>
          <w:bCs/>
          <w:iCs/>
          <w:sz w:val="20"/>
          <w:szCs w:val="20"/>
        </w:rPr>
        <w:t xml:space="preserve">, e </w:t>
      </w:r>
      <w:r w:rsidR="00D34819" w:rsidRPr="00B7109E">
        <w:rPr>
          <w:rFonts w:ascii="Arial" w:eastAsia="Times New Roman" w:hAnsi="Arial" w:cs="Arial"/>
          <w:bCs/>
          <w:iCs/>
          <w:sz w:val="20"/>
          <w:szCs w:val="20"/>
        </w:rPr>
        <w:t xml:space="preserve">gli specifici </w:t>
      </w:r>
      <w:r w:rsidRPr="00BF6E62">
        <w:rPr>
          <w:rFonts w:ascii="Arial" w:eastAsia="Times New Roman" w:hAnsi="Arial" w:cs="Arial"/>
          <w:bCs/>
          <w:sz w:val="20"/>
          <w:szCs w:val="20"/>
        </w:rPr>
        <w:t>target</w:t>
      </w:r>
      <w:r w:rsidRPr="00B7109E">
        <w:rPr>
          <w:rFonts w:ascii="Arial" w:eastAsia="Times New Roman" w:hAnsi="Arial" w:cs="Arial"/>
          <w:bCs/>
          <w:iCs/>
          <w:sz w:val="20"/>
          <w:szCs w:val="20"/>
        </w:rPr>
        <w:t xml:space="preserve"> in cui sono declinati</w:t>
      </w:r>
      <w:r w:rsidR="00BA0D1F" w:rsidRPr="00B7109E">
        <w:rPr>
          <w:rFonts w:ascii="Arial" w:eastAsia="Times New Roman" w:hAnsi="Arial" w:cs="Arial"/>
          <w:bCs/>
          <w:iCs/>
          <w:sz w:val="20"/>
          <w:szCs w:val="20"/>
        </w:rPr>
        <w:t>,</w:t>
      </w:r>
      <w:r w:rsidRPr="00B7109E">
        <w:rPr>
          <w:rFonts w:ascii="Arial" w:eastAsia="Times New Roman" w:hAnsi="Arial" w:cs="Arial"/>
          <w:bCs/>
          <w:iCs/>
          <w:sz w:val="20"/>
          <w:szCs w:val="20"/>
        </w:rPr>
        <w:t xml:space="preserve"> bilanciano le tre dimensioni dello sviluppo sostenibile, estendendo l'Agenda 2030 dal solo pilastro sociale, previsto dagli Obiettivi del Millennio, agli altri due pilastri, economico e ambientale, cui si aggiunge la dimensione istituzionale. </w:t>
      </w:r>
      <w:r w:rsidR="00B47FB4" w:rsidRPr="00B7109E">
        <w:rPr>
          <w:rFonts w:ascii="Arial" w:eastAsia="Times New Roman" w:hAnsi="Arial" w:cs="Arial"/>
          <w:bCs/>
          <w:iCs/>
          <w:sz w:val="20"/>
          <w:szCs w:val="20"/>
        </w:rPr>
        <w:t xml:space="preserve"> </w:t>
      </w:r>
    </w:p>
    <w:p w14:paraId="63BFF052" w14:textId="52FFE3B3" w:rsidR="00B05791" w:rsidRPr="00B7109E" w:rsidRDefault="0077487E" w:rsidP="00CB5161">
      <w:pPr>
        <w:spacing w:after="120" w:line="240" w:lineRule="auto"/>
        <w:jc w:val="both"/>
        <w:rPr>
          <w:rFonts w:ascii="Arial" w:eastAsia="Times New Roman" w:hAnsi="Arial" w:cs="Arial"/>
          <w:bCs/>
          <w:iCs/>
          <w:sz w:val="20"/>
          <w:szCs w:val="20"/>
        </w:rPr>
      </w:pPr>
      <w:r w:rsidRPr="00B7109E">
        <w:rPr>
          <w:rFonts w:ascii="Arial" w:eastAsia="Times New Roman" w:hAnsi="Arial" w:cs="Arial"/>
          <w:bCs/>
          <w:iCs/>
          <w:sz w:val="20"/>
          <w:szCs w:val="20"/>
        </w:rPr>
        <w:t>L</w:t>
      </w:r>
      <w:r w:rsidR="00F91D1B" w:rsidRPr="00B7109E">
        <w:rPr>
          <w:rFonts w:ascii="Arial" w:eastAsia="Times New Roman" w:hAnsi="Arial" w:cs="Arial"/>
          <w:bCs/>
          <w:iCs/>
          <w:sz w:val="20"/>
          <w:szCs w:val="20"/>
        </w:rPr>
        <w:t xml:space="preserve">a </w:t>
      </w:r>
      <w:r w:rsidR="005E3F28" w:rsidRPr="00B7109E">
        <w:rPr>
          <w:rFonts w:ascii="Arial" w:eastAsia="Times New Roman" w:hAnsi="Arial" w:cs="Arial"/>
          <w:bCs/>
          <w:iCs/>
          <w:sz w:val="20"/>
          <w:szCs w:val="20"/>
        </w:rPr>
        <w:t xml:space="preserve">sesta </w:t>
      </w:r>
      <w:r w:rsidR="00F91D1B" w:rsidRPr="00B7109E">
        <w:rPr>
          <w:rFonts w:ascii="Arial" w:eastAsia="Times New Roman" w:hAnsi="Arial" w:cs="Arial"/>
          <w:bCs/>
          <w:iCs/>
          <w:sz w:val="20"/>
          <w:szCs w:val="20"/>
        </w:rPr>
        <w:t xml:space="preserve">edizione del Rapporto sui </w:t>
      </w:r>
      <w:proofErr w:type="spellStart"/>
      <w:r w:rsidR="00F91D1B" w:rsidRPr="00B7109E">
        <w:rPr>
          <w:rFonts w:ascii="Arial" w:eastAsia="Times New Roman" w:hAnsi="Arial" w:cs="Arial"/>
          <w:bCs/>
          <w:i/>
          <w:sz w:val="20"/>
          <w:szCs w:val="20"/>
        </w:rPr>
        <w:t>Sustainable</w:t>
      </w:r>
      <w:proofErr w:type="spellEnd"/>
      <w:r w:rsidR="00F91D1B" w:rsidRPr="00B7109E">
        <w:rPr>
          <w:rFonts w:ascii="Arial" w:eastAsia="Times New Roman" w:hAnsi="Arial" w:cs="Arial"/>
          <w:bCs/>
          <w:i/>
          <w:sz w:val="20"/>
          <w:szCs w:val="20"/>
        </w:rPr>
        <w:t xml:space="preserve"> Development </w:t>
      </w:r>
      <w:proofErr w:type="spellStart"/>
      <w:r w:rsidR="00F91D1B" w:rsidRPr="00B7109E">
        <w:rPr>
          <w:rFonts w:ascii="Arial" w:eastAsia="Times New Roman" w:hAnsi="Arial" w:cs="Arial"/>
          <w:bCs/>
          <w:i/>
          <w:sz w:val="20"/>
          <w:szCs w:val="20"/>
        </w:rPr>
        <w:t>Goals</w:t>
      </w:r>
      <w:proofErr w:type="spellEnd"/>
      <w:r w:rsidR="00F91D1B" w:rsidRPr="00B7109E">
        <w:rPr>
          <w:rFonts w:ascii="Arial" w:eastAsia="Times New Roman" w:hAnsi="Arial" w:cs="Arial"/>
          <w:bCs/>
          <w:iCs/>
          <w:sz w:val="20"/>
          <w:szCs w:val="20"/>
        </w:rPr>
        <w:t xml:space="preserve"> (</w:t>
      </w:r>
      <w:proofErr w:type="spellStart"/>
      <w:r w:rsidR="00F91D1B" w:rsidRPr="00B7109E">
        <w:rPr>
          <w:rFonts w:ascii="Arial" w:eastAsia="Times New Roman" w:hAnsi="Arial" w:cs="Arial"/>
          <w:bCs/>
          <w:iCs/>
          <w:sz w:val="20"/>
          <w:szCs w:val="20"/>
        </w:rPr>
        <w:t>SDGs</w:t>
      </w:r>
      <w:proofErr w:type="spellEnd"/>
      <w:r w:rsidR="00F91D1B" w:rsidRPr="00B7109E">
        <w:rPr>
          <w:rFonts w:ascii="Arial" w:eastAsia="Times New Roman" w:hAnsi="Arial" w:cs="Arial"/>
          <w:bCs/>
          <w:iCs/>
          <w:sz w:val="20"/>
          <w:szCs w:val="20"/>
        </w:rPr>
        <w:t xml:space="preserve">) </w:t>
      </w:r>
      <w:r w:rsidRPr="00B7109E">
        <w:rPr>
          <w:rFonts w:ascii="Arial" w:eastAsia="Times New Roman" w:hAnsi="Arial" w:cs="Arial"/>
          <w:bCs/>
          <w:iCs/>
          <w:sz w:val="20"/>
          <w:szCs w:val="20"/>
        </w:rPr>
        <w:t>include la diffusione di</w:t>
      </w:r>
      <w:r w:rsidR="00F91D1B" w:rsidRPr="00B7109E">
        <w:rPr>
          <w:rFonts w:ascii="Arial" w:eastAsia="Times New Roman" w:hAnsi="Arial" w:cs="Arial"/>
          <w:bCs/>
          <w:iCs/>
          <w:sz w:val="20"/>
          <w:szCs w:val="20"/>
        </w:rPr>
        <w:t xml:space="preserve"> </w:t>
      </w:r>
      <w:r w:rsidR="005E3F28" w:rsidRPr="00B7109E">
        <w:rPr>
          <w:rFonts w:ascii="Arial" w:eastAsia="Times New Roman" w:hAnsi="Arial" w:cs="Arial"/>
          <w:bCs/>
          <w:iCs/>
          <w:sz w:val="20"/>
          <w:szCs w:val="20"/>
        </w:rPr>
        <w:t>372</w:t>
      </w:r>
      <w:r w:rsidR="00F91D1B" w:rsidRPr="00B7109E">
        <w:rPr>
          <w:rFonts w:ascii="Arial" w:eastAsia="Times New Roman" w:hAnsi="Arial" w:cs="Arial"/>
          <w:bCs/>
          <w:iCs/>
          <w:sz w:val="20"/>
          <w:szCs w:val="20"/>
        </w:rPr>
        <w:t xml:space="preserve"> misure statistiche</w:t>
      </w:r>
      <w:r w:rsidR="00F91D1B" w:rsidRPr="00B7109E">
        <w:rPr>
          <w:rFonts w:ascii="Arial" w:hAnsi="Arial" w:cs="Arial"/>
          <w:sz w:val="20"/>
          <w:szCs w:val="20"/>
          <w:vertAlign w:val="superscript"/>
        </w:rPr>
        <w:footnoteReference w:id="2"/>
      </w:r>
      <w:r w:rsidR="00F91D1B" w:rsidRPr="00B7109E">
        <w:rPr>
          <w:rFonts w:ascii="Arial" w:eastAsia="Times New Roman" w:hAnsi="Arial" w:cs="Arial"/>
          <w:bCs/>
          <w:iCs/>
          <w:sz w:val="20"/>
          <w:szCs w:val="20"/>
        </w:rPr>
        <w:t xml:space="preserve"> </w:t>
      </w:r>
      <w:r w:rsidR="005E3F28" w:rsidRPr="00B7109E">
        <w:rPr>
          <w:rFonts w:ascii="Arial" w:eastAsia="Times New Roman" w:hAnsi="Arial" w:cs="Arial"/>
          <w:bCs/>
          <w:iCs/>
          <w:sz w:val="20"/>
          <w:szCs w:val="20"/>
        </w:rPr>
        <w:t xml:space="preserve">connesse a 139 </w:t>
      </w:r>
      <w:r w:rsidR="00F91D1B" w:rsidRPr="00B7109E">
        <w:rPr>
          <w:rFonts w:ascii="Arial" w:eastAsia="Times New Roman" w:hAnsi="Arial" w:cs="Arial"/>
          <w:bCs/>
          <w:iCs/>
          <w:sz w:val="20"/>
          <w:szCs w:val="20"/>
        </w:rPr>
        <w:t xml:space="preserve">indicatori tra quelli proposti </w:t>
      </w:r>
      <w:r w:rsidR="005E3F28" w:rsidRPr="00B7109E">
        <w:rPr>
          <w:rFonts w:ascii="Arial" w:eastAsia="Times New Roman" w:hAnsi="Arial" w:cs="Arial"/>
          <w:bCs/>
          <w:iCs/>
          <w:sz w:val="20"/>
          <w:szCs w:val="20"/>
        </w:rPr>
        <w:t>dall’</w:t>
      </w:r>
      <w:r w:rsidR="005E3F28" w:rsidRPr="00BF6E62">
        <w:rPr>
          <w:rFonts w:ascii="Arial" w:eastAsia="Times New Roman" w:hAnsi="Arial" w:cs="Arial"/>
          <w:bCs/>
          <w:i/>
          <w:iCs/>
          <w:sz w:val="20"/>
          <w:szCs w:val="20"/>
        </w:rPr>
        <w:t>I</w:t>
      </w:r>
      <w:r w:rsidR="005E3F28" w:rsidRPr="00B7109E">
        <w:rPr>
          <w:rFonts w:ascii="Arial" w:eastAsia="Times New Roman" w:hAnsi="Arial" w:cs="Arial"/>
          <w:bCs/>
          <w:i/>
          <w:iCs/>
          <w:sz w:val="20"/>
          <w:szCs w:val="20"/>
        </w:rPr>
        <w:t xml:space="preserve">nter-Agency and Expert Group on SDG </w:t>
      </w:r>
      <w:proofErr w:type="spellStart"/>
      <w:r w:rsidR="005E3F28" w:rsidRPr="00B7109E">
        <w:rPr>
          <w:rFonts w:ascii="Arial" w:eastAsia="Times New Roman" w:hAnsi="Arial" w:cs="Arial"/>
          <w:bCs/>
          <w:i/>
          <w:iCs/>
          <w:sz w:val="20"/>
          <w:szCs w:val="20"/>
        </w:rPr>
        <w:t>Indicators</w:t>
      </w:r>
      <w:proofErr w:type="spellEnd"/>
      <w:r w:rsidR="005E3F28" w:rsidRPr="00B7109E">
        <w:rPr>
          <w:rFonts w:ascii="Arial" w:eastAsia="Times New Roman" w:hAnsi="Arial" w:cs="Arial"/>
          <w:bCs/>
          <w:i/>
          <w:iCs/>
          <w:sz w:val="20"/>
          <w:szCs w:val="20"/>
        </w:rPr>
        <w:t xml:space="preserve"> </w:t>
      </w:r>
      <w:r w:rsidR="005E3F28" w:rsidRPr="00B7109E">
        <w:rPr>
          <w:rFonts w:ascii="Arial" w:eastAsia="Times New Roman" w:hAnsi="Arial" w:cs="Arial"/>
          <w:bCs/>
          <w:iCs/>
          <w:sz w:val="20"/>
          <w:szCs w:val="20"/>
        </w:rPr>
        <w:t>(</w:t>
      </w:r>
      <w:r w:rsidR="00F91D1B" w:rsidRPr="00B7109E">
        <w:rPr>
          <w:rFonts w:ascii="Arial" w:eastAsia="Times New Roman" w:hAnsi="Arial" w:cs="Arial"/>
          <w:bCs/>
          <w:iCs/>
          <w:sz w:val="20"/>
          <w:szCs w:val="20"/>
        </w:rPr>
        <w:t>UN-IAEG-</w:t>
      </w:r>
      <w:proofErr w:type="spellStart"/>
      <w:r w:rsidR="00F91D1B" w:rsidRPr="00B7109E">
        <w:rPr>
          <w:rFonts w:ascii="Arial" w:eastAsia="Times New Roman" w:hAnsi="Arial" w:cs="Arial"/>
          <w:bCs/>
          <w:iCs/>
          <w:sz w:val="20"/>
          <w:szCs w:val="20"/>
        </w:rPr>
        <w:t>SDGs</w:t>
      </w:r>
      <w:proofErr w:type="spellEnd"/>
      <w:r w:rsidR="005E3F28" w:rsidRPr="00B7109E">
        <w:rPr>
          <w:rFonts w:ascii="Arial" w:eastAsia="Times New Roman" w:hAnsi="Arial" w:cs="Arial"/>
          <w:bCs/>
          <w:iCs/>
          <w:sz w:val="20"/>
          <w:szCs w:val="20"/>
        </w:rPr>
        <w:t>)</w:t>
      </w:r>
      <w:r w:rsidR="00F91D1B" w:rsidRPr="00B7109E">
        <w:rPr>
          <w:rFonts w:ascii="Arial" w:eastAsia="Times New Roman" w:hAnsi="Arial" w:cs="Arial"/>
          <w:bCs/>
          <w:iCs/>
          <w:sz w:val="20"/>
          <w:szCs w:val="20"/>
        </w:rPr>
        <w:t xml:space="preserve"> </w:t>
      </w:r>
      <w:r w:rsidR="005E3F28" w:rsidRPr="00B7109E">
        <w:rPr>
          <w:rFonts w:ascii="Arial" w:eastAsia="Times New Roman" w:hAnsi="Arial" w:cs="Arial"/>
          <w:bCs/>
          <w:iCs/>
          <w:sz w:val="20"/>
          <w:szCs w:val="20"/>
        </w:rPr>
        <w:t xml:space="preserve">delle Nazioni Unite, </w:t>
      </w:r>
      <w:r w:rsidR="00F91D1B" w:rsidRPr="00B7109E">
        <w:rPr>
          <w:rFonts w:ascii="Arial" w:eastAsia="Times New Roman" w:hAnsi="Arial" w:cs="Arial"/>
          <w:bCs/>
          <w:iCs/>
          <w:sz w:val="20"/>
          <w:szCs w:val="20"/>
        </w:rPr>
        <w:t>per il monitoraggio degli avanzamenti dell’Agenda 2030 a livello globale</w:t>
      </w:r>
      <w:r w:rsidR="00404D58" w:rsidRPr="00B7109E">
        <w:rPr>
          <w:rFonts w:ascii="Arial" w:eastAsia="Times New Roman" w:hAnsi="Arial" w:cs="Arial"/>
          <w:bCs/>
          <w:iCs/>
          <w:sz w:val="20"/>
          <w:szCs w:val="20"/>
        </w:rPr>
        <w:t xml:space="preserve"> (Figura 1)</w:t>
      </w:r>
      <w:r w:rsidR="00F91D1B" w:rsidRPr="00B7109E">
        <w:rPr>
          <w:rFonts w:ascii="Arial" w:eastAsia="Times New Roman" w:hAnsi="Arial" w:cs="Arial"/>
          <w:bCs/>
          <w:iCs/>
          <w:sz w:val="20"/>
          <w:szCs w:val="20"/>
        </w:rPr>
        <w:t>.</w:t>
      </w:r>
    </w:p>
    <w:p w14:paraId="05D83FCA" w14:textId="37A3EDC4" w:rsidR="00F91D1B" w:rsidRPr="00B7109E" w:rsidRDefault="00311090" w:rsidP="00B62A5E">
      <w:pPr>
        <w:spacing w:after="120" w:line="240" w:lineRule="auto"/>
        <w:jc w:val="both"/>
        <w:rPr>
          <w:rFonts w:ascii="Arial" w:eastAsia="Times New Roman" w:hAnsi="Arial" w:cs="Arial"/>
          <w:bCs/>
          <w:iCs/>
          <w:sz w:val="20"/>
          <w:szCs w:val="20"/>
        </w:rPr>
      </w:pPr>
      <w:r w:rsidRPr="00B7109E">
        <w:rPr>
          <w:rFonts w:ascii="Arial" w:eastAsia="Times New Roman" w:hAnsi="Arial" w:cs="Arial"/>
          <w:bCs/>
          <w:iCs/>
          <w:sz w:val="20"/>
          <w:szCs w:val="20"/>
        </w:rPr>
        <w:t xml:space="preserve">Il Rapporto è stato chiuso con le informazioni disponibili al </w:t>
      </w:r>
      <w:r w:rsidR="00295459" w:rsidRPr="00B7109E">
        <w:rPr>
          <w:rFonts w:ascii="Arial" w:eastAsia="Times New Roman" w:hAnsi="Arial" w:cs="Arial"/>
          <w:bCs/>
          <w:iCs/>
          <w:sz w:val="20"/>
          <w:szCs w:val="20"/>
        </w:rPr>
        <w:t>14</w:t>
      </w:r>
      <w:r w:rsidRPr="00B7109E">
        <w:rPr>
          <w:rFonts w:ascii="Arial" w:eastAsia="Times New Roman" w:hAnsi="Arial" w:cs="Arial"/>
          <w:bCs/>
          <w:iCs/>
          <w:sz w:val="20"/>
          <w:szCs w:val="20"/>
        </w:rPr>
        <w:t xml:space="preserve"> </w:t>
      </w:r>
      <w:r w:rsidR="00295459" w:rsidRPr="00B7109E">
        <w:rPr>
          <w:rFonts w:ascii="Arial" w:eastAsia="Times New Roman" w:hAnsi="Arial" w:cs="Arial"/>
          <w:bCs/>
          <w:iCs/>
          <w:sz w:val="20"/>
          <w:szCs w:val="20"/>
        </w:rPr>
        <w:t>giugno 2023</w:t>
      </w:r>
      <w:r w:rsidRPr="00B7109E">
        <w:rPr>
          <w:rFonts w:ascii="Arial" w:eastAsia="Times New Roman" w:hAnsi="Arial" w:cs="Arial"/>
          <w:bCs/>
          <w:iCs/>
          <w:sz w:val="20"/>
          <w:szCs w:val="20"/>
        </w:rPr>
        <w:t>: r</w:t>
      </w:r>
      <w:r w:rsidR="00AB34F7" w:rsidRPr="00B7109E">
        <w:rPr>
          <w:rFonts w:ascii="Arial" w:eastAsia="Times New Roman" w:hAnsi="Arial" w:cs="Arial"/>
          <w:bCs/>
          <w:iCs/>
          <w:sz w:val="20"/>
          <w:szCs w:val="20"/>
        </w:rPr>
        <w:t xml:space="preserve">ispetto alla diffusione di </w:t>
      </w:r>
      <w:r w:rsidR="005E3F28" w:rsidRPr="00B7109E">
        <w:rPr>
          <w:rFonts w:ascii="Arial" w:eastAsia="Times New Roman" w:hAnsi="Arial" w:cs="Arial"/>
          <w:bCs/>
          <w:iCs/>
          <w:sz w:val="20"/>
          <w:szCs w:val="20"/>
        </w:rPr>
        <w:t>ottobre</w:t>
      </w:r>
      <w:r w:rsidR="00AB34F7" w:rsidRPr="00B7109E">
        <w:rPr>
          <w:rFonts w:ascii="Arial" w:eastAsia="Times New Roman" w:hAnsi="Arial" w:cs="Arial"/>
          <w:bCs/>
          <w:iCs/>
          <w:sz w:val="20"/>
          <w:szCs w:val="20"/>
        </w:rPr>
        <w:t xml:space="preserve"> 2022, sono state aggiornate </w:t>
      </w:r>
      <w:r w:rsidR="005E3F28" w:rsidRPr="00B7109E">
        <w:rPr>
          <w:rFonts w:ascii="Arial" w:eastAsia="Times New Roman" w:hAnsi="Arial" w:cs="Arial"/>
          <w:bCs/>
          <w:iCs/>
          <w:sz w:val="20"/>
          <w:szCs w:val="20"/>
        </w:rPr>
        <w:t xml:space="preserve">223 </w:t>
      </w:r>
      <w:r w:rsidR="00AB34F7" w:rsidRPr="00B7109E">
        <w:rPr>
          <w:rFonts w:ascii="Arial" w:eastAsia="Times New Roman" w:hAnsi="Arial" w:cs="Arial"/>
          <w:bCs/>
          <w:iCs/>
          <w:sz w:val="20"/>
          <w:szCs w:val="20"/>
        </w:rPr>
        <w:t xml:space="preserve">misure statistiche e ne sono state introdotte </w:t>
      </w:r>
      <w:r w:rsidR="005E3F28" w:rsidRPr="00B7109E">
        <w:rPr>
          <w:rFonts w:ascii="Arial" w:eastAsia="Times New Roman" w:hAnsi="Arial" w:cs="Arial"/>
          <w:bCs/>
          <w:iCs/>
          <w:sz w:val="20"/>
          <w:szCs w:val="20"/>
        </w:rPr>
        <w:t>cinque</w:t>
      </w:r>
      <w:r w:rsidR="00AB34F7" w:rsidRPr="00B7109E">
        <w:rPr>
          <w:rFonts w:ascii="Arial" w:eastAsia="Times New Roman" w:hAnsi="Arial" w:cs="Arial"/>
          <w:bCs/>
          <w:iCs/>
          <w:sz w:val="20"/>
          <w:szCs w:val="20"/>
        </w:rPr>
        <w:t xml:space="preserve"> nuove</w:t>
      </w:r>
      <w:r w:rsidR="00027F92" w:rsidRPr="00B7109E">
        <w:rPr>
          <w:rFonts w:ascii="Arial" w:eastAsia="Times New Roman" w:hAnsi="Arial" w:cs="Arial"/>
          <w:bCs/>
          <w:iCs/>
          <w:sz w:val="20"/>
          <w:szCs w:val="20"/>
        </w:rPr>
        <w:t>.</w:t>
      </w:r>
    </w:p>
    <w:p w14:paraId="0B154E79" w14:textId="77777777" w:rsidR="00751BA6" w:rsidRPr="00B7109E" w:rsidRDefault="00751BA6" w:rsidP="00BF6E62">
      <w:pPr>
        <w:spacing w:after="120" w:line="240" w:lineRule="auto"/>
        <w:jc w:val="both"/>
        <w:rPr>
          <w:rFonts w:ascii="Arial" w:eastAsia="Times New Roman" w:hAnsi="Arial" w:cs="Arial"/>
          <w:bCs/>
          <w:iCs/>
          <w:sz w:val="20"/>
          <w:szCs w:val="20"/>
        </w:rPr>
      </w:pPr>
    </w:p>
    <w:p w14:paraId="467282EA" w14:textId="42AD226B" w:rsidR="00404D58" w:rsidRPr="00B7109E" w:rsidRDefault="00404D58" w:rsidP="00FF2428">
      <w:pPr>
        <w:pStyle w:val="Testonormale"/>
        <w:spacing w:after="160"/>
        <w:jc w:val="both"/>
        <w:rPr>
          <w:rFonts w:ascii="Arial" w:hAnsi="Arial" w:cs="Arial"/>
          <w:b/>
        </w:rPr>
      </w:pPr>
      <w:r w:rsidRPr="00B7109E">
        <w:rPr>
          <w:rFonts w:ascii="Arial" w:hAnsi="Arial" w:cs="Arial"/>
          <w:b/>
        </w:rPr>
        <w:t>Figura 1 - Misure statistiche Istat-</w:t>
      </w:r>
      <w:proofErr w:type="spellStart"/>
      <w:r w:rsidRPr="00B7109E">
        <w:rPr>
          <w:rFonts w:ascii="Arial" w:hAnsi="Arial" w:cs="Arial"/>
          <w:b/>
        </w:rPr>
        <w:t>SDGs</w:t>
      </w:r>
      <w:proofErr w:type="spellEnd"/>
      <w:r w:rsidRPr="00B7109E">
        <w:rPr>
          <w:rFonts w:ascii="Arial" w:hAnsi="Arial" w:cs="Arial"/>
          <w:b/>
        </w:rPr>
        <w:t xml:space="preserve"> e indicatori UN-IAEG-</w:t>
      </w:r>
      <w:proofErr w:type="spellStart"/>
      <w:r w:rsidRPr="00B7109E">
        <w:rPr>
          <w:rFonts w:ascii="Arial" w:hAnsi="Arial" w:cs="Arial"/>
          <w:b/>
        </w:rPr>
        <w:t>SDGs</w:t>
      </w:r>
      <w:proofErr w:type="spellEnd"/>
      <w:r w:rsidRPr="00B7109E">
        <w:rPr>
          <w:rFonts w:ascii="Arial" w:hAnsi="Arial" w:cs="Arial"/>
          <w:b/>
        </w:rPr>
        <w:t xml:space="preserve">, per occasione di diffusione </w:t>
      </w:r>
    </w:p>
    <w:p w14:paraId="2EBCBA07" w14:textId="306DDA1D" w:rsidR="00A35B68" w:rsidRPr="00E34F20" w:rsidRDefault="00584C03" w:rsidP="007E4820">
      <w:pPr>
        <w:spacing w:after="120" w:line="240" w:lineRule="auto"/>
        <w:jc w:val="both"/>
        <w:rPr>
          <w:rFonts w:ascii="Arial" w:eastAsia="Times New Roman" w:hAnsi="Arial" w:cs="Arial"/>
          <w:bCs/>
          <w:iCs/>
          <w:sz w:val="20"/>
          <w:szCs w:val="20"/>
        </w:rPr>
      </w:pPr>
      <w:r>
        <w:rPr>
          <w:rFonts w:ascii="Arial" w:eastAsia="Times New Roman" w:hAnsi="Arial" w:cs="Arial"/>
          <w:bCs/>
          <w:iCs/>
          <w:noProof/>
          <w:sz w:val="20"/>
          <w:szCs w:val="20"/>
          <w:lang w:eastAsia="it-IT"/>
        </w:rPr>
        <w:drawing>
          <wp:inline distT="0" distB="0" distL="0" distR="0" wp14:anchorId="44659BFC" wp14:editId="34F18451">
            <wp:extent cx="5060315" cy="2816860"/>
            <wp:effectExtent l="0" t="0" r="6985" b="254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0315" cy="2816860"/>
                    </a:xfrm>
                    <a:prstGeom prst="rect">
                      <a:avLst/>
                    </a:prstGeom>
                    <a:noFill/>
                  </pic:spPr>
                </pic:pic>
              </a:graphicData>
            </a:graphic>
          </wp:inline>
        </w:drawing>
      </w:r>
    </w:p>
    <w:p w14:paraId="462C1D0C" w14:textId="77777777" w:rsidR="00F21747" w:rsidRPr="00B7109E" w:rsidRDefault="00EA6F22" w:rsidP="00C14363">
      <w:pPr>
        <w:spacing w:after="120" w:line="240" w:lineRule="auto"/>
        <w:jc w:val="both"/>
        <w:rPr>
          <w:rFonts w:ascii="Arial" w:eastAsia="Times New Roman" w:hAnsi="Arial" w:cs="Arial"/>
          <w:bCs/>
          <w:iCs/>
          <w:sz w:val="20"/>
          <w:szCs w:val="20"/>
        </w:rPr>
      </w:pPr>
      <w:r w:rsidRPr="00B7109E">
        <w:rPr>
          <w:rFonts w:ascii="Arial" w:eastAsia="Times New Roman" w:hAnsi="Arial" w:cs="Arial"/>
          <w:bCs/>
          <w:iCs/>
          <w:sz w:val="20"/>
          <w:szCs w:val="20"/>
        </w:rPr>
        <w:t xml:space="preserve">Lo sviluppo del </w:t>
      </w:r>
      <w:proofErr w:type="spellStart"/>
      <w:r w:rsidRPr="00B7109E">
        <w:rPr>
          <w:rFonts w:ascii="Arial" w:eastAsia="Times New Roman" w:hAnsi="Arial" w:cs="Arial"/>
          <w:bCs/>
          <w:i/>
          <w:iCs/>
          <w:sz w:val="20"/>
          <w:szCs w:val="20"/>
        </w:rPr>
        <w:t>framework</w:t>
      </w:r>
      <w:proofErr w:type="spellEnd"/>
      <w:r w:rsidRPr="00B7109E">
        <w:rPr>
          <w:rFonts w:ascii="Arial" w:eastAsia="Times New Roman" w:hAnsi="Arial" w:cs="Arial"/>
          <w:bCs/>
          <w:iCs/>
          <w:sz w:val="20"/>
          <w:szCs w:val="20"/>
        </w:rPr>
        <w:t xml:space="preserve"> sugli </w:t>
      </w:r>
      <w:proofErr w:type="spellStart"/>
      <w:r w:rsidRPr="00B7109E">
        <w:rPr>
          <w:rFonts w:ascii="Arial" w:eastAsia="Times New Roman" w:hAnsi="Arial" w:cs="Arial"/>
          <w:bCs/>
          <w:iCs/>
          <w:sz w:val="20"/>
          <w:szCs w:val="20"/>
        </w:rPr>
        <w:t>SDGs</w:t>
      </w:r>
      <w:proofErr w:type="spellEnd"/>
      <w:r w:rsidRPr="00B7109E">
        <w:rPr>
          <w:rFonts w:ascii="Arial" w:eastAsia="Times New Roman" w:hAnsi="Arial" w:cs="Arial"/>
          <w:bCs/>
          <w:iCs/>
          <w:sz w:val="20"/>
          <w:szCs w:val="20"/>
        </w:rPr>
        <w:t xml:space="preserve"> costituisce un lavoro in continua evoluzione che tiene conto della progressiva estensione e articolazione dell’attività di “mappatura” degli indicatori proposti da UN-IAEG-</w:t>
      </w:r>
      <w:proofErr w:type="spellStart"/>
      <w:r w:rsidRPr="00B7109E">
        <w:rPr>
          <w:rFonts w:ascii="Arial" w:eastAsia="Times New Roman" w:hAnsi="Arial" w:cs="Arial"/>
          <w:bCs/>
          <w:iCs/>
          <w:sz w:val="20"/>
          <w:szCs w:val="20"/>
        </w:rPr>
        <w:t>SDGs</w:t>
      </w:r>
      <w:proofErr w:type="spellEnd"/>
      <w:r w:rsidRPr="00B7109E">
        <w:rPr>
          <w:rFonts w:ascii="Arial" w:eastAsia="Times New Roman" w:hAnsi="Arial" w:cs="Arial"/>
          <w:bCs/>
          <w:iCs/>
          <w:sz w:val="20"/>
          <w:szCs w:val="20"/>
        </w:rPr>
        <w:t xml:space="preserve"> e degli avanzamenti nella produzione delle misure statistiche all’interno del Sistema Statistico nazionale</w:t>
      </w:r>
      <w:r w:rsidRPr="00B7109E">
        <w:rPr>
          <w:rFonts w:ascii="Arial" w:eastAsia="Times New Roman" w:hAnsi="Arial" w:cs="Arial"/>
          <w:bCs/>
          <w:iCs/>
          <w:sz w:val="20"/>
          <w:szCs w:val="20"/>
          <w:vertAlign w:val="superscript"/>
        </w:rPr>
        <w:footnoteReference w:id="3"/>
      </w:r>
      <w:r w:rsidRPr="00B7109E">
        <w:rPr>
          <w:rFonts w:ascii="Arial" w:eastAsia="Times New Roman" w:hAnsi="Arial" w:cs="Arial"/>
          <w:bCs/>
          <w:iCs/>
          <w:sz w:val="20"/>
          <w:szCs w:val="20"/>
        </w:rPr>
        <w:t xml:space="preserve">. </w:t>
      </w:r>
    </w:p>
    <w:p w14:paraId="63E50C5C" w14:textId="58FD1E54" w:rsidR="00AD2598" w:rsidRPr="00B7109E" w:rsidRDefault="001062B2" w:rsidP="00C14363">
      <w:pPr>
        <w:spacing w:after="120" w:line="240" w:lineRule="auto"/>
        <w:jc w:val="both"/>
        <w:rPr>
          <w:rFonts w:ascii="Arial" w:eastAsia="Times New Roman" w:hAnsi="Arial" w:cs="Arial"/>
          <w:bCs/>
          <w:iCs/>
          <w:sz w:val="20"/>
          <w:szCs w:val="20"/>
        </w:rPr>
      </w:pPr>
      <w:r w:rsidRPr="00B7109E">
        <w:rPr>
          <w:rFonts w:ascii="Arial" w:eastAsia="Times New Roman" w:hAnsi="Arial" w:cs="Arial"/>
          <w:bCs/>
          <w:iCs/>
          <w:sz w:val="20"/>
          <w:szCs w:val="20"/>
        </w:rPr>
        <w:lastRenderedPageBreak/>
        <w:t xml:space="preserve">La </w:t>
      </w:r>
      <w:r w:rsidR="00AD2598" w:rsidRPr="00B7109E">
        <w:rPr>
          <w:rFonts w:ascii="Arial" w:eastAsia="Times New Roman" w:hAnsi="Arial" w:cs="Arial"/>
          <w:bCs/>
          <w:iCs/>
          <w:sz w:val="20"/>
          <w:szCs w:val="20"/>
        </w:rPr>
        <w:t>nuova</w:t>
      </w:r>
      <w:r w:rsidRPr="00B7109E">
        <w:rPr>
          <w:rFonts w:ascii="Arial" w:eastAsia="Times New Roman" w:hAnsi="Arial" w:cs="Arial"/>
          <w:bCs/>
          <w:iCs/>
          <w:sz w:val="20"/>
          <w:szCs w:val="20"/>
        </w:rPr>
        <w:t xml:space="preserve"> edizione del Rapporto </w:t>
      </w:r>
      <w:r w:rsidR="00AD2598" w:rsidRPr="00B7109E">
        <w:rPr>
          <w:rFonts w:ascii="Arial" w:eastAsia="Times New Roman" w:hAnsi="Arial" w:cs="Arial"/>
          <w:bCs/>
          <w:iCs/>
          <w:sz w:val="20"/>
          <w:szCs w:val="20"/>
        </w:rPr>
        <w:t xml:space="preserve">arricchisce di elementi originali le </w:t>
      </w:r>
      <w:r w:rsidRPr="00B7109E">
        <w:rPr>
          <w:rFonts w:ascii="Arial" w:eastAsia="Times New Roman" w:hAnsi="Arial" w:cs="Arial"/>
          <w:bCs/>
          <w:iCs/>
          <w:sz w:val="20"/>
          <w:szCs w:val="20"/>
        </w:rPr>
        <w:t xml:space="preserve">analisi </w:t>
      </w:r>
      <w:r w:rsidR="00A871EF" w:rsidRPr="00B7109E">
        <w:rPr>
          <w:rFonts w:ascii="Arial" w:eastAsia="Times New Roman" w:hAnsi="Arial" w:cs="Arial"/>
          <w:bCs/>
          <w:iCs/>
          <w:sz w:val="20"/>
          <w:szCs w:val="20"/>
        </w:rPr>
        <w:t>su</w:t>
      </w:r>
      <w:r w:rsidR="00AD2598" w:rsidRPr="00B7109E">
        <w:rPr>
          <w:rFonts w:ascii="Arial" w:eastAsia="Times New Roman" w:hAnsi="Arial" w:cs="Arial"/>
          <w:bCs/>
          <w:iCs/>
          <w:sz w:val="20"/>
          <w:szCs w:val="20"/>
        </w:rPr>
        <w:t xml:space="preserve">ll’andamento complessivo degli </w:t>
      </w:r>
      <w:proofErr w:type="spellStart"/>
      <w:r w:rsidR="00AD2598" w:rsidRPr="00B7109E">
        <w:rPr>
          <w:rFonts w:ascii="Arial" w:eastAsia="Times New Roman" w:hAnsi="Arial" w:cs="Arial"/>
          <w:bCs/>
          <w:iCs/>
          <w:sz w:val="20"/>
          <w:szCs w:val="20"/>
        </w:rPr>
        <w:t>SDGs</w:t>
      </w:r>
      <w:proofErr w:type="spellEnd"/>
      <w:r w:rsidR="00AD2598" w:rsidRPr="00B7109E">
        <w:rPr>
          <w:rFonts w:ascii="Arial" w:eastAsia="Times New Roman" w:hAnsi="Arial" w:cs="Arial"/>
          <w:bCs/>
          <w:iCs/>
          <w:sz w:val="20"/>
          <w:szCs w:val="20"/>
        </w:rPr>
        <w:t xml:space="preserve">, prendendo in considerazione sia l’evoluzione temporale rispetto </w:t>
      </w:r>
      <w:r w:rsidR="00A871EF" w:rsidRPr="00B7109E">
        <w:rPr>
          <w:rFonts w:ascii="Arial" w:eastAsia="Times New Roman" w:hAnsi="Arial" w:cs="Arial"/>
          <w:bCs/>
          <w:iCs/>
          <w:sz w:val="20"/>
          <w:szCs w:val="20"/>
        </w:rPr>
        <w:t xml:space="preserve">ai </w:t>
      </w:r>
      <w:r w:rsidR="00A871EF" w:rsidRPr="00BF6E62">
        <w:rPr>
          <w:rFonts w:ascii="Arial" w:eastAsia="Times New Roman" w:hAnsi="Arial" w:cs="Arial"/>
          <w:bCs/>
          <w:iCs/>
          <w:sz w:val="20"/>
          <w:szCs w:val="20"/>
        </w:rPr>
        <w:t>target</w:t>
      </w:r>
      <w:r w:rsidR="00A871EF" w:rsidRPr="00B7109E">
        <w:rPr>
          <w:rFonts w:ascii="Arial" w:eastAsia="Times New Roman" w:hAnsi="Arial" w:cs="Arial"/>
          <w:bCs/>
          <w:iCs/>
          <w:sz w:val="20"/>
          <w:szCs w:val="20"/>
        </w:rPr>
        <w:t xml:space="preserve"> dell’Agenda 2030, </w:t>
      </w:r>
      <w:r w:rsidR="00AD2598" w:rsidRPr="00B7109E">
        <w:rPr>
          <w:rFonts w:ascii="Arial" w:eastAsia="Times New Roman" w:hAnsi="Arial" w:cs="Arial"/>
          <w:bCs/>
          <w:iCs/>
          <w:sz w:val="20"/>
          <w:szCs w:val="20"/>
        </w:rPr>
        <w:t>sia le convergenze o le divergenze territoriali.</w:t>
      </w:r>
      <w:r w:rsidR="00A871EF" w:rsidRPr="00B7109E">
        <w:rPr>
          <w:rFonts w:ascii="Arial" w:eastAsia="Times New Roman" w:hAnsi="Arial" w:cs="Arial"/>
          <w:bCs/>
          <w:iCs/>
          <w:sz w:val="20"/>
          <w:szCs w:val="20"/>
        </w:rPr>
        <w:t xml:space="preserve"> </w:t>
      </w:r>
      <w:r w:rsidR="00AD2598" w:rsidRPr="00B7109E">
        <w:rPr>
          <w:rFonts w:ascii="Arial" w:eastAsia="Times New Roman" w:hAnsi="Arial" w:cs="Arial"/>
          <w:bCs/>
          <w:iCs/>
          <w:sz w:val="20"/>
          <w:szCs w:val="20"/>
        </w:rPr>
        <w:t xml:space="preserve">Il </w:t>
      </w:r>
      <w:r w:rsidR="008C7F5A" w:rsidRPr="00B7109E">
        <w:rPr>
          <w:rFonts w:ascii="Arial" w:eastAsia="Times New Roman" w:hAnsi="Arial" w:cs="Arial"/>
          <w:bCs/>
          <w:iCs/>
          <w:sz w:val="20"/>
          <w:szCs w:val="20"/>
        </w:rPr>
        <w:t xml:space="preserve">Capitolo 2, che illustra </w:t>
      </w:r>
      <w:r w:rsidR="00A871EF" w:rsidRPr="00B7109E">
        <w:rPr>
          <w:rFonts w:ascii="Arial" w:eastAsia="Times New Roman" w:hAnsi="Arial" w:cs="Arial"/>
          <w:bCs/>
          <w:iCs/>
          <w:sz w:val="20"/>
          <w:szCs w:val="20"/>
        </w:rPr>
        <w:t>il dettaglio de</w:t>
      </w:r>
      <w:r w:rsidR="008C7F5A" w:rsidRPr="00B7109E">
        <w:rPr>
          <w:rFonts w:ascii="Arial" w:eastAsia="Times New Roman" w:hAnsi="Arial" w:cs="Arial"/>
          <w:bCs/>
          <w:iCs/>
          <w:sz w:val="20"/>
          <w:szCs w:val="20"/>
        </w:rPr>
        <w:t xml:space="preserve">gli andamenti temporali e territoriali per ciascuno dei 17 </w:t>
      </w:r>
      <w:r w:rsidR="008C7F5A" w:rsidRPr="00BF6E62">
        <w:rPr>
          <w:rFonts w:ascii="Arial" w:eastAsia="Times New Roman" w:hAnsi="Arial" w:cs="Arial"/>
          <w:bCs/>
          <w:iCs/>
          <w:sz w:val="20"/>
          <w:szCs w:val="20"/>
        </w:rPr>
        <w:t>Goal</w:t>
      </w:r>
      <w:r w:rsidR="00AD2598" w:rsidRPr="00B7109E">
        <w:rPr>
          <w:rFonts w:ascii="Arial" w:eastAsia="Times New Roman" w:hAnsi="Arial" w:cs="Arial"/>
          <w:bCs/>
          <w:iCs/>
          <w:sz w:val="20"/>
          <w:szCs w:val="20"/>
        </w:rPr>
        <w:t>, propone anche quest’anno</w:t>
      </w:r>
      <w:r w:rsidR="00A871EF" w:rsidRPr="00B7109E">
        <w:rPr>
          <w:rFonts w:ascii="Arial" w:eastAsia="Times New Roman" w:hAnsi="Arial" w:cs="Arial"/>
          <w:bCs/>
          <w:iCs/>
          <w:sz w:val="20"/>
          <w:szCs w:val="20"/>
        </w:rPr>
        <w:t xml:space="preserve"> - </w:t>
      </w:r>
      <w:r w:rsidR="00AD2598" w:rsidRPr="00B7109E">
        <w:rPr>
          <w:rFonts w:ascii="Arial" w:eastAsia="Times New Roman" w:hAnsi="Arial" w:cs="Arial"/>
          <w:bCs/>
          <w:iCs/>
          <w:sz w:val="20"/>
          <w:szCs w:val="20"/>
        </w:rPr>
        <w:t>dopo la proficua esperienza della passata edizione</w:t>
      </w:r>
      <w:r w:rsidR="00A871EF" w:rsidRPr="00B7109E">
        <w:rPr>
          <w:rFonts w:ascii="Arial" w:eastAsia="Times New Roman" w:hAnsi="Arial" w:cs="Arial"/>
          <w:bCs/>
          <w:iCs/>
          <w:sz w:val="20"/>
          <w:szCs w:val="20"/>
        </w:rPr>
        <w:t xml:space="preserve"> - </w:t>
      </w:r>
      <w:r w:rsidR="00AD2598" w:rsidRPr="00B7109E">
        <w:rPr>
          <w:rFonts w:ascii="Arial" w:eastAsia="Times New Roman" w:hAnsi="Arial" w:cs="Arial"/>
          <w:bCs/>
          <w:iCs/>
          <w:sz w:val="20"/>
          <w:szCs w:val="20"/>
        </w:rPr>
        <w:t>approfondimenti a cura di studiosi e rappresentanti delle istituzioni che contribuiscono alla produzione dell’informazion</w:t>
      </w:r>
      <w:r w:rsidR="00C62806">
        <w:rPr>
          <w:rFonts w:ascii="Arial" w:eastAsia="Times New Roman" w:hAnsi="Arial" w:cs="Arial"/>
          <w:bCs/>
          <w:iCs/>
          <w:sz w:val="20"/>
          <w:szCs w:val="20"/>
        </w:rPr>
        <w:t>e</w:t>
      </w:r>
      <w:r w:rsidR="00AD2598" w:rsidRPr="00B7109E">
        <w:rPr>
          <w:rFonts w:ascii="Arial" w:eastAsia="Times New Roman" w:hAnsi="Arial" w:cs="Arial"/>
          <w:bCs/>
          <w:iCs/>
          <w:sz w:val="20"/>
          <w:szCs w:val="20"/>
        </w:rPr>
        <w:t xml:space="preserve"> statistica per la misurazione dello sviluppo sostenibile</w:t>
      </w:r>
      <w:r w:rsidR="00A871EF" w:rsidRPr="00B7109E">
        <w:rPr>
          <w:rFonts w:ascii="Arial" w:eastAsia="Times New Roman" w:hAnsi="Arial" w:cs="Arial"/>
          <w:bCs/>
          <w:iCs/>
          <w:sz w:val="20"/>
          <w:szCs w:val="20"/>
        </w:rPr>
        <w:t xml:space="preserve">. </w:t>
      </w:r>
    </w:p>
    <w:p w14:paraId="42748544" w14:textId="2CE860D8" w:rsidR="00FF083C" w:rsidRPr="00B7109E" w:rsidRDefault="000D1068" w:rsidP="00CB5161">
      <w:pPr>
        <w:spacing w:after="120" w:line="240" w:lineRule="auto"/>
        <w:jc w:val="both"/>
        <w:rPr>
          <w:rFonts w:ascii="Arial" w:eastAsia="Times New Roman" w:hAnsi="Arial" w:cs="Arial"/>
          <w:bCs/>
          <w:iCs/>
          <w:sz w:val="20"/>
          <w:szCs w:val="20"/>
        </w:rPr>
      </w:pPr>
      <w:r w:rsidRPr="00B7109E">
        <w:rPr>
          <w:rFonts w:ascii="Arial" w:eastAsia="Times New Roman" w:hAnsi="Arial" w:cs="Arial"/>
          <w:bCs/>
          <w:iCs/>
          <w:sz w:val="20"/>
          <w:szCs w:val="20"/>
        </w:rPr>
        <w:t xml:space="preserve">Il Rapporto è accompagnato da </w:t>
      </w:r>
      <w:r w:rsidR="00CD3A17" w:rsidRPr="00B7109E">
        <w:rPr>
          <w:rFonts w:ascii="Arial" w:eastAsia="Times New Roman" w:hAnsi="Arial" w:cs="Arial"/>
          <w:bCs/>
          <w:iCs/>
          <w:sz w:val="20"/>
          <w:szCs w:val="20"/>
        </w:rPr>
        <w:t>un’</w:t>
      </w:r>
      <w:proofErr w:type="spellStart"/>
      <w:r w:rsidR="00CD3A17" w:rsidRPr="00B7109E">
        <w:rPr>
          <w:rFonts w:ascii="Arial" w:eastAsia="Times New Roman" w:hAnsi="Arial" w:cs="Arial"/>
          <w:bCs/>
          <w:iCs/>
          <w:sz w:val="20"/>
          <w:szCs w:val="20"/>
        </w:rPr>
        <w:t>infografica</w:t>
      </w:r>
      <w:proofErr w:type="spellEnd"/>
      <w:r w:rsidR="00CD3A17" w:rsidRPr="00B7109E">
        <w:rPr>
          <w:rFonts w:ascii="Arial" w:eastAsia="Times New Roman" w:hAnsi="Arial" w:cs="Arial"/>
          <w:bCs/>
          <w:iCs/>
          <w:sz w:val="20"/>
          <w:szCs w:val="20"/>
        </w:rPr>
        <w:t xml:space="preserve">, </w:t>
      </w:r>
      <w:r w:rsidR="00562F50" w:rsidRPr="00B7109E">
        <w:rPr>
          <w:rFonts w:ascii="Arial" w:eastAsia="Times New Roman" w:hAnsi="Arial" w:cs="Arial"/>
          <w:bCs/>
          <w:iCs/>
          <w:sz w:val="20"/>
          <w:szCs w:val="20"/>
        </w:rPr>
        <w:t xml:space="preserve">da </w:t>
      </w:r>
      <w:r w:rsidR="00CD3A17" w:rsidRPr="00B7109E">
        <w:rPr>
          <w:rFonts w:ascii="Arial" w:eastAsia="Times New Roman" w:hAnsi="Arial" w:cs="Arial"/>
          <w:bCs/>
          <w:iCs/>
          <w:sz w:val="20"/>
          <w:szCs w:val="20"/>
        </w:rPr>
        <w:t xml:space="preserve">una </w:t>
      </w:r>
      <w:proofErr w:type="spellStart"/>
      <w:r w:rsidRPr="00B7109E">
        <w:rPr>
          <w:rFonts w:ascii="Arial" w:eastAsia="Times New Roman" w:hAnsi="Arial" w:cs="Arial"/>
          <w:bCs/>
          <w:i/>
          <w:sz w:val="20"/>
          <w:szCs w:val="20"/>
        </w:rPr>
        <w:t>dashboard</w:t>
      </w:r>
      <w:proofErr w:type="spellEnd"/>
      <w:r w:rsidRPr="00B7109E">
        <w:rPr>
          <w:rFonts w:ascii="Arial" w:eastAsia="Times New Roman" w:hAnsi="Arial" w:cs="Arial"/>
          <w:bCs/>
          <w:iCs/>
          <w:sz w:val="20"/>
          <w:szCs w:val="20"/>
        </w:rPr>
        <w:t xml:space="preserve"> che permette </w:t>
      </w:r>
      <w:r w:rsidR="00936F51" w:rsidRPr="00B7109E">
        <w:rPr>
          <w:rFonts w:ascii="Arial" w:eastAsia="Times New Roman" w:hAnsi="Arial" w:cs="Arial"/>
          <w:bCs/>
          <w:iCs/>
          <w:sz w:val="20"/>
          <w:szCs w:val="20"/>
        </w:rPr>
        <w:t xml:space="preserve">la </w:t>
      </w:r>
      <w:r w:rsidRPr="00B7109E">
        <w:rPr>
          <w:rFonts w:ascii="Arial" w:eastAsia="Times New Roman" w:hAnsi="Arial" w:cs="Arial"/>
          <w:bCs/>
          <w:iCs/>
          <w:sz w:val="20"/>
          <w:szCs w:val="20"/>
        </w:rPr>
        <w:t xml:space="preserve">navigazione </w:t>
      </w:r>
      <w:r w:rsidR="00936F51" w:rsidRPr="00B7109E">
        <w:rPr>
          <w:rFonts w:ascii="Arial" w:eastAsia="Times New Roman" w:hAnsi="Arial" w:cs="Arial"/>
          <w:bCs/>
          <w:iCs/>
          <w:sz w:val="20"/>
          <w:szCs w:val="20"/>
        </w:rPr>
        <w:t xml:space="preserve">interattiva degli </w:t>
      </w:r>
      <w:r w:rsidRPr="00B7109E">
        <w:rPr>
          <w:rFonts w:ascii="Arial" w:eastAsia="Times New Roman" w:hAnsi="Arial" w:cs="Arial"/>
          <w:bCs/>
          <w:iCs/>
          <w:sz w:val="20"/>
          <w:szCs w:val="20"/>
        </w:rPr>
        <w:t>indicatori</w:t>
      </w:r>
      <w:r w:rsidR="00EA6F22" w:rsidRPr="00B7109E">
        <w:rPr>
          <w:rFonts w:ascii="Arial" w:eastAsia="Times New Roman" w:hAnsi="Arial" w:cs="Arial"/>
          <w:bCs/>
          <w:iCs/>
          <w:sz w:val="20"/>
          <w:szCs w:val="20"/>
        </w:rPr>
        <w:t xml:space="preserve"> e dalla </w:t>
      </w:r>
      <w:r w:rsidRPr="00B7109E">
        <w:rPr>
          <w:rFonts w:ascii="Arial" w:eastAsia="Times New Roman" w:hAnsi="Arial" w:cs="Arial"/>
          <w:bCs/>
          <w:iCs/>
          <w:sz w:val="20"/>
          <w:szCs w:val="20"/>
        </w:rPr>
        <w:t>diffusione dei file di dati e metadati riferiti alle misure statistiche. Tutta la documentazione è interamente disponibile on</w:t>
      </w:r>
      <w:r w:rsidR="00A67CF2" w:rsidRPr="00B7109E">
        <w:rPr>
          <w:rFonts w:ascii="Arial" w:eastAsia="Times New Roman" w:hAnsi="Arial" w:cs="Arial"/>
          <w:bCs/>
          <w:iCs/>
          <w:sz w:val="20"/>
          <w:szCs w:val="20"/>
        </w:rPr>
        <w:t xml:space="preserve"> </w:t>
      </w:r>
      <w:r w:rsidRPr="00B7109E">
        <w:rPr>
          <w:rFonts w:ascii="Arial" w:eastAsia="Times New Roman" w:hAnsi="Arial" w:cs="Arial"/>
          <w:bCs/>
          <w:iCs/>
          <w:sz w:val="20"/>
          <w:szCs w:val="20"/>
        </w:rPr>
        <w:t>line al</w:t>
      </w:r>
      <w:r w:rsidR="00A35B68" w:rsidRPr="00B7109E">
        <w:rPr>
          <w:rFonts w:ascii="Arial" w:eastAsia="Times New Roman" w:hAnsi="Arial" w:cs="Arial"/>
          <w:bCs/>
          <w:iCs/>
          <w:sz w:val="20"/>
          <w:szCs w:val="20"/>
        </w:rPr>
        <w:t>l’indirizzo</w:t>
      </w:r>
      <w:r w:rsidRPr="00B7109E">
        <w:rPr>
          <w:rFonts w:ascii="Arial" w:eastAsia="Times New Roman" w:hAnsi="Arial" w:cs="Arial"/>
          <w:bCs/>
          <w:iCs/>
          <w:sz w:val="20"/>
          <w:szCs w:val="20"/>
        </w:rPr>
        <w:t xml:space="preserve"> </w:t>
      </w:r>
      <w:hyperlink r:id="rId9" w:history="1">
        <w:r w:rsidR="00CD3A17" w:rsidRPr="00B7109E">
          <w:rPr>
            <w:rStyle w:val="Collegamentoipertestuale"/>
            <w:rFonts w:ascii="Arial" w:eastAsia="Times New Roman" w:hAnsi="Arial" w:cs="Arial"/>
            <w:bCs/>
            <w:iCs/>
            <w:sz w:val="20"/>
            <w:szCs w:val="20"/>
          </w:rPr>
          <w:t>https://www.istat.it/it/benessere-e-sostenibilità/obiettivi-di-sviluppo-sostenibile</w:t>
        </w:r>
      </w:hyperlink>
      <w:r w:rsidRPr="00B7109E">
        <w:rPr>
          <w:rFonts w:ascii="Arial" w:eastAsia="Times New Roman" w:hAnsi="Arial" w:cs="Arial"/>
          <w:bCs/>
          <w:iCs/>
          <w:sz w:val="20"/>
          <w:szCs w:val="20"/>
        </w:rPr>
        <w:t>.</w:t>
      </w:r>
    </w:p>
    <w:p w14:paraId="75389E9D" w14:textId="77777777" w:rsidR="00751BA6" w:rsidRDefault="00751BA6" w:rsidP="00B62A5E">
      <w:pPr>
        <w:spacing w:after="120" w:line="240" w:lineRule="auto"/>
        <w:jc w:val="both"/>
        <w:rPr>
          <w:rFonts w:ascii="Arial" w:eastAsia="Times New Roman" w:hAnsi="Arial" w:cs="Arial"/>
          <w:bCs/>
          <w:iCs/>
          <w:sz w:val="20"/>
          <w:szCs w:val="20"/>
        </w:rPr>
      </w:pPr>
    </w:p>
    <w:p w14:paraId="5CE4DA93" w14:textId="573BA968" w:rsidR="00497DEE" w:rsidRPr="00F2627C" w:rsidRDefault="00497DEE" w:rsidP="00B62A5E">
      <w:pPr>
        <w:spacing w:after="120" w:line="240" w:lineRule="auto"/>
        <w:jc w:val="both"/>
        <w:rPr>
          <w:rFonts w:ascii="Arial" w:eastAsia="Times New Roman" w:hAnsi="Arial" w:cs="Arial"/>
          <w:b/>
          <w:bCs/>
          <w:iCs/>
          <w:color w:val="289AD1"/>
          <w:sz w:val="28"/>
          <w:szCs w:val="28"/>
        </w:rPr>
      </w:pPr>
      <w:r w:rsidRPr="00F2627C">
        <w:rPr>
          <w:rFonts w:ascii="Arial" w:eastAsia="Times New Roman" w:hAnsi="Arial" w:cs="Arial"/>
          <w:b/>
          <w:bCs/>
          <w:iCs/>
          <w:color w:val="289AD1"/>
          <w:sz w:val="28"/>
          <w:szCs w:val="28"/>
        </w:rPr>
        <w:t xml:space="preserve">I progressi verso </w:t>
      </w:r>
      <w:r w:rsidR="00F2627C">
        <w:rPr>
          <w:rFonts w:ascii="Arial" w:eastAsia="Times New Roman" w:hAnsi="Arial" w:cs="Arial"/>
          <w:b/>
          <w:bCs/>
          <w:iCs/>
          <w:color w:val="289AD1"/>
          <w:sz w:val="28"/>
          <w:szCs w:val="28"/>
        </w:rPr>
        <w:t>lo</w:t>
      </w:r>
      <w:r w:rsidR="00F2627C" w:rsidRPr="00F2627C">
        <w:rPr>
          <w:rFonts w:ascii="Arial" w:eastAsia="Times New Roman" w:hAnsi="Arial" w:cs="Arial"/>
          <w:b/>
          <w:bCs/>
          <w:iCs/>
          <w:color w:val="289AD1"/>
          <w:sz w:val="28"/>
          <w:szCs w:val="28"/>
        </w:rPr>
        <w:t xml:space="preserve"> </w:t>
      </w:r>
      <w:r w:rsidRPr="00F2627C">
        <w:rPr>
          <w:rFonts w:ascii="Arial" w:eastAsia="Times New Roman" w:hAnsi="Arial" w:cs="Arial"/>
          <w:b/>
          <w:bCs/>
          <w:iCs/>
          <w:color w:val="289AD1"/>
          <w:sz w:val="28"/>
          <w:szCs w:val="28"/>
        </w:rPr>
        <w:t xml:space="preserve">sviluppo sostenibile </w:t>
      </w:r>
    </w:p>
    <w:p w14:paraId="6ACB2FB9" w14:textId="6F6B292D" w:rsidR="004C3B88" w:rsidRDefault="004C3B88" w:rsidP="00B62A5E">
      <w:pPr>
        <w:adjustRightInd w:val="0"/>
        <w:spacing w:after="120" w:line="240" w:lineRule="auto"/>
        <w:jc w:val="both"/>
        <w:rPr>
          <w:rFonts w:ascii="Arial" w:eastAsia="Times New Roman" w:hAnsi="Arial" w:cs="Arial"/>
          <w:bCs/>
          <w:iCs/>
          <w:sz w:val="20"/>
          <w:szCs w:val="20"/>
        </w:rPr>
      </w:pPr>
      <w:r w:rsidRPr="004C3B88">
        <w:rPr>
          <w:rFonts w:ascii="Arial" w:eastAsia="Times New Roman" w:hAnsi="Arial" w:cs="Arial"/>
          <w:bCs/>
          <w:iCs/>
          <w:sz w:val="20"/>
          <w:szCs w:val="20"/>
        </w:rPr>
        <w:t xml:space="preserve">L’analisi dell’evoluzione temporale delle misure statistiche </w:t>
      </w:r>
      <w:r w:rsidR="00F21747">
        <w:rPr>
          <w:rFonts w:ascii="Arial" w:eastAsia="Times New Roman" w:hAnsi="Arial" w:cs="Arial"/>
          <w:bCs/>
          <w:iCs/>
          <w:sz w:val="20"/>
          <w:szCs w:val="20"/>
        </w:rPr>
        <w:t>Istat-</w:t>
      </w:r>
      <w:proofErr w:type="spellStart"/>
      <w:r w:rsidR="00F21747">
        <w:rPr>
          <w:rFonts w:ascii="Arial" w:eastAsia="Times New Roman" w:hAnsi="Arial" w:cs="Arial"/>
          <w:bCs/>
          <w:iCs/>
          <w:sz w:val="20"/>
          <w:szCs w:val="20"/>
        </w:rPr>
        <w:t>SDGs</w:t>
      </w:r>
      <w:proofErr w:type="spellEnd"/>
      <w:r w:rsidR="00F21747">
        <w:rPr>
          <w:rFonts w:ascii="Arial" w:eastAsia="Times New Roman" w:hAnsi="Arial" w:cs="Arial"/>
          <w:bCs/>
          <w:iCs/>
          <w:sz w:val="20"/>
          <w:szCs w:val="20"/>
        </w:rPr>
        <w:t xml:space="preserve"> </w:t>
      </w:r>
      <w:r w:rsidRPr="004C3B88">
        <w:rPr>
          <w:rFonts w:ascii="Arial" w:eastAsia="Times New Roman" w:hAnsi="Arial" w:cs="Arial"/>
          <w:bCs/>
          <w:iCs/>
          <w:sz w:val="20"/>
          <w:szCs w:val="20"/>
        </w:rPr>
        <w:t>è stata condotta</w:t>
      </w:r>
      <w:r>
        <w:rPr>
          <w:rFonts w:ascii="Arial" w:eastAsia="Times New Roman" w:hAnsi="Arial" w:cs="Arial"/>
          <w:bCs/>
          <w:iCs/>
          <w:sz w:val="20"/>
          <w:szCs w:val="20"/>
        </w:rPr>
        <w:t xml:space="preserve"> </w:t>
      </w:r>
      <w:r w:rsidR="00E253E7">
        <w:rPr>
          <w:rFonts w:ascii="Arial" w:eastAsia="Times New Roman" w:hAnsi="Arial" w:cs="Arial"/>
          <w:bCs/>
          <w:iCs/>
          <w:sz w:val="20"/>
          <w:szCs w:val="20"/>
        </w:rPr>
        <w:t>confrontando i dati dell</w:t>
      </w:r>
      <w:r w:rsidR="00E253E7" w:rsidRPr="004C3B88">
        <w:rPr>
          <w:rFonts w:ascii="Arial" w:eastAsia="Times New Roman" w:hAnsi="Arial" w:cs="Arial"/>
          <w:bCs/>
          <w:iCs/>
          <w:sz w:val="20"/>
          <w:szCs w:val="20"/>
        </w:rPr>
        <w:t xml:space="preserve">’ultimo </w:t>
      </w:r>
      <w:r w:rsidRPr="004C3B88">
        <w:rPr>
          <w:rFonts w:ascii="Arial" w:eastAsia="Times New Roman" w:hAnsi="Arial" w:cs="Arial"/>
          <w:bCs/>
          <w:iCs/>
          <w:sz w:val="20"/>
          <w:szCs w:val="20"/>
        </w:rPr>
        <w:t xml:space="preserve">anno </w:t>
      </w:r>
      <w:r w:rsidR="00E253E7">
        <w:rPr>
          <w:rFonts w:ascii="Arial" w:eastAsia="Times New Roman" w:hAnsi="Arial" w:cs="Arial"/>
          <w:bCs/>
          <w:iCs/>
          <w:sz w:val="20"/>
          <w:szCs w:val="20"/>
        </w:rPr>
        <w:t xml:space="preserve">disponibile </w:t>
      </w:r>
      <w:r w:rsidRPr="004C3B88">
        <w:rPr>
          <w:rFonts w:ascii="Arial" w:eastAsia="Times New Roman" w:hAnsi="Arial" w:cs="Arial"/>
          <w:bCs/>
          <w:iCs/>
          <w:sz w:val="20"/>
          <w:szCs w:val="20"/>
        </w:rPr>
        <w:t>(prevalentemente il 202</w:t>
      </w:r>
      <w:r w:rsidR="00A871EF">
        <w:rPr>
          <w:rFonts w:ascii="Arial" w:eastAsia="Times New Roman" w:hAnsi="Arial" w:cs="Arial"/>
          <w:bCs/>
          <w:iCs/>
          <w:sz w:val="20"/>
          <w:szCs w:val="20"/>
        </w:rPr>
        <w:t>1 o il 2022</w:t>
      </w:r>
      <w:r w:rsidRPr="004C3B88">
        <w:rPr>
          <w:rFonts w:ascii="Arial" w:eastAsia="Times New Roman" w:hAnsi="Arial" w:cs="Arial"/>
          <w:bCs/>
          <w:iCs/>
          <w:sz w:val="20"/>
          <w:szCs w:val="20"/>
        </w:rPr>
        <w:t>) con quell</w:t>
      </w:r>
      <w:r w:rsidR="00E253E7">
        <w:rPr>
          <w:rFonts w:ascii="Arial" w:eastAsia="Times New Roman" w:hAnsi="Arial" w:cs="Arial"/>
          <w:bCs/>
          <w:iCs/>
          <w:sz w:val="20"/>
          <w:szCs w:val="20"/>
        </w:rPr>
        <w:t>i</w:t>
      </w:r>
      <w:r w:rsidRPr="004C3B88">
        <w:rPr>
          <w:rFonts w:ascii="Arial" w:eastAsia="Times New Roman" w:hAnsi="Arial" w:cs="Arial"/>
          <w:bCs/>
          <w:iCs/>
          <w:sz w:val="20"/>
          <w:szCs w:val="20"/>
        </w:rPr>
        <w:t xml:space="preserve"> </w:t>
      </w:r>
      <w:r w:rsidR="00E253E7">
        <w:rPr>
          <w:rFonts w:ascii="Arial" w:eastAsia="Times New Roman" w:hAnsi="Arial" w:cs="Arial"/>
          <w:bCs/>
          <w:iCs/>
          <w:sz w:val="20"/>
          <w:szCs w:val="20"/>
        </w:rPr>
        <w:t xml:space="preserve">riferiti all’anno </w:t>
      </w:r>
      <w:r w:rsidRPr="004C3B88">
        <w:rPr>
          <w:rFonts w:ascii="Arial" w:eastAsia="Times New Roman" w:hAnsi="Arial" w:cs="Arial"/>
          <w:bCs/>
          <w:iCs/>
          <w:sz w:val="20"/>
          <w:szCs w:val="20"/>
        </w:rPr>
        <w:t>precedente</w:t>
      </w:r>
      <w:r w:rsidR="00EC5FEA">
        <w:rPr>
          <w:rFonts w:ascii="Arial" w:eastAsia="Times New Roman" w:hAnsi="Arial" w:cs="Arial"/>
          <w:bCs/>
          <w:iCs/>
          <w:sz w:val="20"/>
          <w:szCs w:val="20"/>
        </w:rPr>
        <w:t xml:space="preserve"> </w:t>
      </w:r>
      <w:r w:rsidR="00A871EF">
        <w:rPr>
          <w:rFonts w:ascii="Arial" w:eastAsia="Times New Roman" w:hAnsi="Arial" w:cs="Arial"/>
          <w:bCs/>
          <w:iCs/>
          <w:sz w:val="20"/>
          <w:szCs w:val="20"/>
        </w:rPr>
        <w:t>e</w:t>
      </w:r>
      <w:r w:rsidR="00E253E7">
        <w:rPr>
          <w:rFonts w:ascii="Arial" w:eastAsia="Times New Roman" w:hAnsi="Arial" w:cs="Arial"/>
          <w:bCs/>
          <w:iCs/>
          <w:sz w:val="20"/>
          <w:szCs w:val="20"/>
        </w:rPr>
        <w:t xml:space="preserve"> a </w:t>
      </w:r>
      <w:r w:rsidRPr="004C3B88">
        <w:rPr>
          <w:rFonts w:ascii="Arial" w:eastAsia="Times New Roman" w:hAnsi="Arial" w:cs="Arial"/>
          <w:bCs/>
          <w:iCs/>
          <w:sz w:val="20"/>
          <w:szCs w:val="20"/>
        </w:rPr>
        <w:t xml:space="preserve">10 anni prima. </w:t>
      </w:r>
    </w:p>
    <w:p w14:paraId="1CAC5233" w14:textId="4EAE6570" w:rsidR="00881BB1" w:rsidRDefault="00881BB1" w:rsidP="00B62A5E">
      <w:pPr>
        <w:adjustRightInd w:val="0"/>
        <w:spacing w:after="120" w:line="240" w:lineRule="auto"/>
        <w:jc w:val="both"/>
        <w:rPr>
          <w:rFonts w:ascii="Arial" w:eastAsia="Times New Roman" w:hAnsi="Arial" w:cs="Arial"/>
          <w:bCs/>
          <w:iCs/>
          <w:sz w:val="20"/>
          <w:szCs w:val="20"/>
        </w:rPr>
      </w:pPr>
      <w:r w:rsidRPr="00881BB1">
        <w:rPr>
          <w:rFonts w:ascii="Arial" w:eastAsia="Times New Roman" w:hAnsi="Arial" w:cs="Arial"/>
          <w:bCs/>
          <w:iCs/>
          <w:sz w:val="20"/>
          <w:szCs w:val="20"/>
        </w:rPr>
        <w:t xml:space="preserve">Gli andamenti relativi all’ultimo anno mostrano un quadro variegato: il 42,6% delle misure </w:t>
      </w:r>
      <w:r w:rsidR="0012756C">
        <w:rPr>
          <w:rFonts w:ascii="Arial" w:eastAsia="Times New Roman" w:hAnsi="Arial" w:cs="Arial"/>
          <w:bCs/>
          <w:iCs/>
          <w:sz w:val="20"/>
          <w:szCs w:val="20"/>
        </w:rPr>
        <w:t>è</w:t>
      </w:r>
      <w:r w:rsidRPr="00881BB1">
        <w:rPr>
          <w:rFonts w:ascii="Arial" w:eastAsia="Times New Roman" w:hAnsi="Arial" w:cs="Arial"/>
          <w:bCs/>
          <w:iCs/>
          <w:sz w:val="20"/>
          <w:szCs w:val="20"/>
        </w:rPr>
        <w:t xml:space="preserve"> in miglioramento rispetto al </w:t>
      </w:r>
      <w:r w:rsidRPr="00BF6E62">
        <w:rPr>
          <w:rFonts w:ascii="Arial" w:eastAsia="Times New Roman" w:hAnsi="Arial" w:cs="Arial"/>
          <w:bCs/>
          <w:iCs/>
          <w:sz w:val="20"/>
          <w:szCs w:val="20"/>
        </w:rPr>
        <w:t>target</w:t>
      </w:r>
      <w:r w:rsidRPr="00881BB1">
        <w:rPr>
          <w:rFonts w:ascii="Arial" w:eastAsia="Times New Roman" w:hAnsi="Arial" w:cs="Arial"/>
          <w:bCs/>
          <w:iCs/>
          <w:sz w:val="20"/>
          <w:szCs w:val="20"/>
        </w:rPr>
        <w:t xml:space="preserve"> definito dall’Agenda 2030, il 24,6% stazionari</w:t>
      </w:r>
      <w:r w:rsidR="0012756C">
        <w:rPr>
          <w:rFonts w:ascii="Arial" w:eastAsia="Times New Roman" w:hAnsi="Arial" w:cs="Arial"/>
          <w:bCs/>
          <w:iCs/>
          <w:sz w:val="20"/>
          <w:szCs w:val="20"/>
        </w:rPr>
        <w:t>o</w:t>
      </w:r>
      <w:r w:rsidRPr="00881BB1">
        <w:rPr>
          <w:rFonts w:ascii="Arial" w:eastAsia="Times New Roman" w:hAnsi="Arial" w:cs="Arial"/>
          <w:bCs/>
          <w:iCs/>
          <w:sz w:val="20"/>
          <w:szCs w:val="20"/>
        </w:rPr>
        <w:t xml:space="preserve"> e il 32,8% segnala un peggioramento</w:t>
      </w:r>
      <w:r>
        <w:rPr>
          <w:rFonts w:ascii="Arial" w:eastAsia="Times New Roman" w:hAnsi="Arial" w:cs="Arial"/>
          <w:bCs/>
          <w:iCs/>
          <w:sz w:val="20"/>
          <w:szCs w:val="20"/>
        </w:rPr>
        <w:t xml:space="preserve"> (Figura 2). </w:t>
      </w:r>
      <w:r w:rsidRPr="00881BB1">
        <w:rPr>
          <w:rFonts w:ascii="Arial" w:eastAsia="Times New Roman" w:hAnsi="Arial" w:cs="Arial"/>
          <w:bCs/>
          <w:iCs/>
          <w:sz w:val="20"/>
          <w:szCs w:val="20"/>
        </w:rPr>
        <w:t xml:space="preserve">La percentuale di misure con variazione positiva è significativamente elevata per il </w:t>
      </w:r>
      <w:r w:rsidRPr="00BF6E62">
        <w:rPr>
          <w:rFonts w:ascii="Arial" w:eastAsia="Times New Roman" w:hAnsi="Arial" w:cs="Arial"/>
          <w:bCs/>
          <w:iCs/>
          <w:sz w:val="20"/>
          <w:szCs w:val="20"/>
        </w:rPr>
        <w:t>Goal</w:t>
      </w:r>
      <w:r w:rsidRPr="00881BB1">
        <w:rPr>
          <w:rFonts w:ascii="Arial" w:eastAsia="Times New Roman" w:hAnsi="Arial" w:cs="Arial"/>
          <w:bCs/>
          <w:iCs/>
          <w:sz w:val="20"/>
          <w:szCs w:val="20"/>
        </w:rPr>
        <w:t xml:space="preserve"> 17 (</w:t>
      </w:r>
      <w:r w:rsidRPr="00BF6E62">
        <w:rPr>
          <w:rFonts w:ascii="Arial" w:eastAsia="Times New Roman" w:hAnsi="Arial" w:cs="Arial"/>
          <w:bCs/>
          <w:iCs/>
          <w:sz w:val="20"/>
          <w:szCs w:val="20"/>
        </w:rPr>
        <w:t>Partnership</w:t>
      </w:r>
      <w:r w:rsidRPr="00881BB1">
        <w:rPr>
          <w:rFonts w:ascii="Arial" w:eastAsia="Times New Roman" w:hAnsi="Arial" w:cs="Arial"/>
          <w:bCs/>
          <w:iCs/>
          <w:sz w:val="20"/>
          <w:szCs w:val="20"/>
        </w:rPr>
        <w:t xml:space="preserve"> per gli obiettivi), in cui migliorano tutte le misure che riguardano l’uso dell’ICT, eccetto la percentuale di persone che usano il </w:t>
      </w:r>
      <w:r w:rsidRPr="00BF6E62">
        <w:rPr>
          <w:rFonts w:ascii="Arial" w:eastAsia="Times New Roman" w:hAnsi="Arial" w:cs="Arial"/>
          <w:bCs/>
          <w:iCs/>
          <w:sz w:val="20"/>
          <w:szCs w:val="20"/>
        </w:rPr>
        <w:t>web</w:t>
      </w:r>
      <w:r w:rsidRPr="00881BB1">
        <w:rPr>
          <w:rFonts w:ascii="Arial" w:eastAsia="Times New Roman" w:hAnsi="Arial" w:cs="Arial"/>
          <w:bCs/>
          <w:iCs/>
          <w:sz w:val="20"/>
          <w:szCs w:val="20"/>
        </w:rPr>
        <w:t xml:space="preserve"> per acquistare beni o servizi, che arretra dopo i massimi raggiunti nel 2021, in concomitanza con il </w:t>
      </w:r>
      <w:proofErr w:type="spellStart"/>
      <w:r w:rsidRPr="00881BB1">
        <w:rPr>
          <w:rFonts w:ascii="Arial" w:eastAsia="Times New Roman" w:hAnsi="Arial" w:cs="Arial"/>
          <w:bCs/>
          <w:i/>
          <w:iCs/>
          <w:sz w:val="20"/>
          <w:szCs w:val="20"/>
        </w:rPr>
        <w:t>lockdown</w:t>
      </w:r>
      <w:proofErr w:type="spellEnd"/>
      <w:r w:rsidRPr="00881BB1">
        <w:rPr>
          <w:rFonts w:ascii="Arial" w:eastAsia="Times New Roman" w:hAnsi="Arial" w:cs="Arial"/>
          <w:bCs/>
          <w:iCs/>
          <w:sz w:val="20"/>
          <w:szCs w:val="20"/>
        </w:rPr>
        <w:t xml:space="preserve">. Anche il </w:t>
      </w:r>
      <w:r w:rsidRPr="00BF6E62">
        <w:rPr>
          <w:rFonts w:ascii="Arial" w:eastAsia="Times New Roman" w:hAnsi="Arial" w:cs="Arial"/>
          <w:bCs/>
          <w:iCs/>
          <w:sz w:val="20"/>
          <w:szCs w:val="20"/>
        </w:rPr>
        <w:t>Goal</w:t>
      </w:r>
      <w:r w:rsidRPr="00881BB1">
        <w:rPr>
          <w:rFonts w:ascii="Arial" w:eastAsia="Times New Roman" w:hAnsi="Arial" w:cs="Arial"/>
          <w:bCs/>
          <w:iCs/>
          <w:sz w:val="20"/>
          <w:szCs w:val="20"/>
        </w:rPr>
        <w:t xml:space="preserve"> 5 (Parità di genere) registra un’elevata quota di misure in miglioramento, legate in particolare all’aumentata presenza delle donne nelle posizioni direttive. Nel </w:t>
      </w:r>
      <w:r w:rsidRPr="00BF6E62">
        <w:rPr>
          <w:rFonts w:ascii="Arial" w:eastAsia="Times New Roman" w:hAnsi="Arial" w:cs="Arial"/>
          <w:bCs/>
          <w:iCs/>
          <w:sz w:val="20"/>
          <w:szCs w:val="20"/>
        </w:rPr>
        <w:t>Goal</w:t>
      </w:r>
      <w:r w:rsidRPr="00881BB1">
        <w:rPr>
          <w:rFonts w:ascii="Arial" w:eastAsia="Times New Roman" w:hAnsi="Arial" w:cs="Arial"/>
          <w:bCs/>
          <w:iCs/>
          <w:sz w:val="20"/>
          <w:szCs w:val="20"/>
        </w:rPr>
        <w:t xml:space="preserve"> 7 (Energia pulita) si registrano i livelli più elevati di indicatori in peggioramento, a causa della forte ripresa dei consumi energetici post-pandemica e, al contempo, di una non altrettanto intensa crescita dei consumi da fonti rinnovabili. Anche per il </w:t>
      </w:r>
      <w:r w:rsidRPr="00BF6E62">
        <w:rPr>
          <w:rFonts w:ascii="Arial" w:eastAsia="Times New Roman" w:hAnsi="Arial" w:cs="Arial"/>
          <w:bCs/>
          <w:iCs/>
          <w:sz w:val="20"/>
          <w:szCs w:val="20"/>
        </w:rPr>
        <w:t>Goal</w:t>
      </w:r>
      <w:r w:rsidRPr="00881BB1">
        <w:rPr>
          <w:rFonts w:ascii="Arial" w:eastAsia="Times New Roman" w:hAnsi="Arial" w:cs="Arial"/>
          <w:bCs/>
          <w:iCs/>
          <w:sz w:val="20"/>
          <w:szCs w:val="20"/>
        </w:rPr>
        <w:t xml:space="preserve"> 16 (Pace, giustizia e istituzioni) la percentuale di misure in </w:t>
      </w:r>
      <w:r w:rsidRPr="00BF6E62">
        <w:rPr>
          <w:rFonts w:ascii="Arial" w:eastAsia="Times New Roman" w:hAnsi="Arial" w:cs="Arial"/>
          <w:bCs/>
          <w:iCs/>
          <w:sz w:val="20"/>
          <w:szCs w:val="20"/>
        </w:rPr>
        <w:t>peggioramento</w:t>
      </w:r>
      <w:r w:rsidRPr="00881BB1">
        <w:rPr>
          <w:rFonts w:ascii="Arial" w:eastAsia="Times New Roman" w:hAnsi="Arial" w:cs="Arial"/>
          <w:bCs/>
          <w:iCs/>
          <w:sz w:val="20"/>
          <w:szCs w:val="20"/>
        </w:rPr>
        <w:t xml:space="preserve"> è consistente, a causa </w:t>
      </w:r>
      <w:r w:rsidRPr="00BF6E62">
        <w:rPr>
          <w:rFonts w:ascii="Arial" w:eastAsia="Times New Roman" w:hAnsi="Arial" w:cs="Arial"/>
          <w:bCs/>
          <w:iCs/>
          <w:sz w:val="20"/>
          <w:szCs w:val="20"/>
        </w:rPr>
        <w:t>del</w:t>
      </w:r>
      <w:r w:rsidR="00846FA1" w:rsidRPr="00BF6E62">
        <w:rPr>
          <w:rFonts w:ascii="Arial" w:eastAsia="Times New Roman" w:hAnsi="Arial" w:cs="Arial"/>
          <w:bCs/>
          <w:iCs/>
          <w:sz w:val="20"/>
          <w:szCs w:val="20"/>
        </w:rPr>
        <w:t>l’aggravarsi</w:t>
      </w:r>
      <w:r w:rsidRPr="00881BB1">
        <w:rPr>
          <w:rFonts w:ascii="Arial" w:eastAsia="Times New Roman" w:hAnsi="Arial" w:cs="Arial"/>
          <w:bCs/>
          <w:iCs/>
          <w:sz w:val="20"/>
          <w:szCs w:val="20"/>
        </w:rPr>
        <w:t xml:space="preserve"> delle </w:t>
      </w:r>
      <w:r w:rsidRPr="00BF6E62">
        <w:rPr>
          <w:rFonts w:ascii="Arial" w:eastAsia="Times New Roman" w:hAnsi="Arial" w:cs="Arial"/>
          <w:bCs/>
          <w:iCs/>
          <w:sz w:val="20"/>
          <w:szCs w:val="20"/>
        </w:rPr>
        <w:t>condizioni di affollamento delle carceri</w:t>
      </w:r>
      <w:r w:rsidRPr="00881BB1">
        <w:rPr>
          <w:rFonts w:ascii="Arial" w:eastAsia="Times New Roman" w:hAnsi="Arial" w:cs="Arial"/>
          <w:bCs/>
          <w:iCs/>
          <w:sz w:val="20"/>
          <w:szCs w:val="20"/>
        </w:rPr>
        <w:t xml:space="preserve"> e della soddisfazione verso i servizi pubblici.</w:t>
      </w:r>
    </w:p>
    <w:p w14:paraId="2560E6FA" w14:textId="77777777" w:rsidR="005F136A" w:rsidRPr="004C3B88" w:rsidRDefault="005F136A" w:rsidP="00BF6E62">
      <w:pPr>
        <w:adjustRightInd w:val="0"/>
        <w:spacing w:after="120" w:line="240" w:lineRule="auto"/>
        <w:jc w:val="both"/>
        <w:rPr>
          <w:rFonts w:ascii="Arial" w:eastAsia="Times New Roman" w:hAnsi="Arial" w:cs="Arial"/>
          <w:bCs/>
          <w:iCs/>
          <w:sz w:val="20"/>
          <w:szCs w:val="20"/>
        </w:rPr>
      </w:pPr>
    </w:p>
    <w:p w14:paraId="0E786497" w14:textId="76089E97" w:rsidR="004C3B88" w:rsidRDefault="004C3B88" w:rsidP="00E34F20">
      <w:pPr>
        <w:pStyle w:val="Testonormale"/>
        <w:spacing w:after="160"/>
        <w:jc w:val="both"/>
        <w:rPr>
          <w:rFonts w:ascii="Arial" w:hAnsi="Arial" w:cs="Arial"/>
          <w:bCs/>
        </w:rPr>
      </w:pPr>
      <w:r w:rsidRPr="00E34F20">
        <w:rPr>
          <w:rFonts w:ascii="Arial" w:hAnsi="Arial" w:cs="Arial"/>
          <w:b/>
        </w:rPr>
        <w:t xml:space="preserve">Figura </w:t>
      </w:r>
      <w:r w:rsidR="00404D58" w:rsidRPr="00E34F20">
        <w:rPr>
          <w:rFonts w:ascii="Arial" w:hAnsi="Arial" w:cs="Arial"/>
          <w:b/>
        </w:rPr>
        <w:t>2</w:t>
      </w:r>
      <w:r w:rsidRPr="00E34F20">
        <w:rPr>
          <w:rFonts w:ascii="Arial" w:hAnsi="Arial" w:cs="Arial"/>
          <w:b/>
        </w:rPr>
        <w:t xml:space="preserve"> - Evoluzione temporale dei </w:t>
      </w:r>
      <w:r w:rsidRPr="00BF6E62">
        <w:rPr>
          <w:rFonts w:ascii="Arial" w:hAnsi="Arial" w:cs="Arial"/>
          <w:b/>
        </w:rPr>
        <w:t>Goal</w:t>
      </w:r>
      <w:r w:rsidRPr="00E34F20">
        <w:rPr>
          <w:rFonts w:ascii="Arial" w:hAnsi="Arial" w:cs="Arial"/>
          <w:b/>
        </w:rPr>
        <w:t xml:space="preserve">: ultimo anno disponibile rispetto all’anno precedente, per </w:t>
      </w:r>
      <w:r w:rsidRPr="00BF6E62">
        <w:rPr>
          <w:rFonts w:ascii="Arial" w:hAnsi="Arial" w:cs="Arial"/>
          <w:b/>
        </w:rPr>
        <w:t>Goal</w:t>
      </w:r>
      <w:r w:rsidRPr="00E34F20">
        <w:rPr>
          <w:rFonts w:ascii="Arial" w:hAnsi="Arial" w:cs="Arial"/>
          <w:b/>
        </w:rPr>
        <w:t xml:space="preserve"> </w:t>
      </w:r>
      <w:r w:rsidRPr="00E34F20">
        <w:rPr>
          <w:rFonts w:ascii="Arial" w:hAnsi="Arial" w:cs="Arial"/>
          <w:bCs/>
        </w:rPr>
        <w:t>(a)</w:t>
      </w:r>
    </w:p>
    <w:p w14:paraId="43B9094E" w14:textId="449DD2CE" w:rsidR="00A871EF" w:rsidRPr="007826E3" w:rsidRDefault="00A871EF" w:rsidP="00E34F20">
      <w:pPr>
        <w:pStyle w:val="Testonormale"/>
        <w:spacing w:after="160"/>
        <w:jc w:val="both"/>
        <w:rPr>
          <w:rFonts w:ascii="Arial" w:hAnsi="Arial" w:cs="Arial"/>
          <w:b/>
        </w:rPr>
      </w:pPr>
      <w:r>
        <w:rPr>
          <w:rFonts w:ascii="Arial" w:hAnsi="Arial" w:cs="Arial"/>
          <w:b/>
          <w:noProof/>
        </w:rPr>
        <w:drawing>
          <wp:inline distT="0" distB="0" distL="0" distR="0" wp14:anchorId="5463A88F" wp14:editId="21DFF272">
            <wp:extent cx="6154309" cy="2816860"/>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6000" cy="2817634"/>
                    </a:xfrm>
                    <a:prstGeom prst="rect">
                      <a:avLst/>
                    </a:prstGeom>
                    <a:noFill/>
                  </pic:spPr>
                </pic:pic>
              </a:graphicData>
            </a:graphic>
          </wp:inline>
        </w:drawing>
      </w:r>
    </w:p>
    <w:p w14:paraId="0968FA3E" w14:textId="77777777" w:rsidR="004C3B88" w:rsidRPr="00E34F20" w:rsidRDefault="004C3B88" w:rsidP="00E34F20">
      <w:pPr>
        <w:pStyle w:val="Titolo2"/>
        <w:keepNext w:val="0"/>
        <w:keepLines w:val="0"/>
        <w:widowControl w:val="0"/>
        <w:numPr>
          <w:ilvl w:val="0"/>
          <w:numId w:val="1"/>
        </w:numPr>
        <w:autoSpaceDE w:val="0"/>
        <w:autoSpaceDN w:val="0"/>
        <w:spacing w:before="0" w:after="120" w:line="240" w:lineRule="auto"/>
        <w:jc w:val="both"/>
        <w:rPr>
          <w:rFonts w:ascii="Arial Narrow" w:hAnsi="Arial Narrow" w:cstheme="minorHAnsi"/>
          <w:sz w:val="15"/>
          <w:szCs w:val="15"/>
        </w:rPr>
      </w:pPr>
      <w:r w:rsidRPr="00E34F20">
        <w:rPr>
          <w:rFonts w:ascii="Arial Narrow" w:hAnsi="Arial Narrow" w:cstheme="minorHAnsi"/>
          <w:sz w:val="15"/>
          <w:szCs w:val="15"/>
        </w:rPr>
        <w:t xml:space="preserve">Accanto a ciascun </w:t>
      </w:r>
      <w:r w:rsidRPr="00BF6E62">
        <w:rPr>
          <w:rFonts w:ascii="Arial Narrow" w:hAnsi="Arial Narrow" w:cstheme="minorHAnsi"/>
          <w:sz w:val="15"/>
          <w:szCs w:val="15"/>
        </w:rPr>
        <w:t>Goal</w:t>
      </w:r>
      <w:r w:rsidRPr="00E34F20">
        <w:rPr>
          <w:rFonts w:ascii="Arial Narrow" w:hAnsi="Arial Narrow" w:cstheme="minorHAnsi"/>
          <w:sz w:val="15"/>
          <w:szCs w:val="15"/>
        </w:rPr>
        <w:t xml:space="preserve"> viene indicato tra parentesi il numero di misure statistiche utilizzate per il calcolo </w:t>
      </w:r>
    </w:p>
    <w:p w14:paraId="3ACA3B67" w14:textId="2DF92BF6" w:rsidR="00DC42C7" w:rsidRDefault="00DC42C7" w:rsidP="001B7A31">
      <w:pPr>
        <w:spacing w:after="120" w:line="240" w:lineRule="auto"/>
        <w:rPr>
          <w:rFonts w:ascii="Helvetica LT Std Cond" w:hAnsi="Helvetica LT Std Cond" w:cs="HelveticaLTStd-Cond"/>
          <w:sz w:val="24"/>
          <w:szCs w:val="24"/>
          <w:highlight w:val="yellow"/>
        </w:rPr>
      </w:pPr>
    </w:p>
    <w:p w14:paraId="68A8FB66" w14:textId="42C48EB2" w:rsidR="00881BB1" w:rsidRPr="00881BB1" w:rsidRDefault="00881BB1" w:rsidP="00BF6E62">
      <w:pPr>
        <w:pStyle w:val="Paragrafoelenco"/>
        <w:widowControl/>
        <w:adjustRightInd w:val="0"/>
        <w:spacing w:after="120"/>
        <w:ind w:left="0"/>
        <w:jc w:val="both"/>
        <w:rPr>
          <w:rFonts w:ascii="Arial" w:eastAsia="Times New Roman" w:hAnsi="Arial" w:cs="Arial"/>
          <w:bCs/>
          <w:iCs/>
          <w:sz w:val="20"/>
          <w:szCs w:val="20"/>
          <w:lang w:val="it-IT"/>
        </w:rPr>
      </w:pPr>
      <w:r w:rsidRPr="00881BB1">
        <w:rPr>
          <w:rFonts w:ascii="Arial" w:eastAsia="Times New Roman" w:hAnsi="Arial" w:cs="Arial"/>
          <w:bCs/>
          <w:iCs/>
          <w:sz w:val="20"/>
          <w:szCs w:val="20"/>
          <w:lang w:val="it-IT"/>
        </w:rPr>
        <w:t>Rispetto ai 10 anni precedenti, i segnali positivi</w:t>
      </w:r>
      <w:r w:rsidR="0048136C">
        <w:rPr>
          <w:rFonts w:ascii="Arial" w:eastAsia="Times New Roman" w:hAnsi="Arial" w:cs="Arial"/>
          <w:bCs/>
          <w:iCs/>
          <w:sz w:val="20"/>
          <w:szCs w:val="20"/>
          <w:lang w:val="it-IT"/>
        </w:rPr>
        <w:t xml:space="preserve"> </w:t>
      </w:r>
      <w:r w:rsidR="0048136C" w:rsidRPr="00881BB1">
        <w:rPr>
          <w:rFonts w:ascii="Arial" w:eastAsia="Times New Roman" w:hAnsi="Arial" w:cs="Arial"/>
          <w:bCs/>
          <w:iCs/>
          <w:sz w:val="20"/>
          <w:szCs w:val="20"/>
          <w:lang w:val="it-IT"/>
        </w:rPr>
        <w:t>sono</w:t>
      </w:r>
      <w:r w:rsidR="0048136C">
        <w:rPr>
          <w:rFonts w:ascii="Arial" w:eastAsia="Times New Roman" w:hAnsi="Arial" w:cs="Arial"/>
          <w:bCs/>
          <w:iCs/>
          <w:sz w:val="20"/>
          <w:szCs w:val="20"/>
          <w:lang w:val="it-IT"/>
        </w:rPr>
        <w:t xml:space="preserve"> più</w:t>
      </w:r>
      <w:r w:rsidR="0048136C" w:rsidRPr="00881BB1">
        <w:rPr>
          <w:rFonts w:ascii="Arial" w:eastAsia="Times New Roman" w:hAnsi="Arial" w:cs="Arial"/>
          <w:bCs/>
          <w:iCs/>
          <w:sz w:val="20"/>
          <w:szCs w:val="20"/>
          <w:lang w:val="it-IT"/>
        </w:rPr>
        <w:t xml:space="preserve"> numerosi</w:t>
      </w:r>
      <w:r w:rsidRPr="00881BB1">
        <w:rPr>
          <w:rFonts w:ascii="Arial" w:eastAsia="Times New Roman" w:hAnsi="Arial" w:cs="Arial"/>
          <w:bCs/>
          <w:iCs/>
          <w:sz w:val="20"/>
          <w:szCs w:val="20"/>
          <w:lang w:val="it-IT"/>
        </w:rPr>
        <w:t xml:space="preserve">: il 58,6% delle misure infatti </w:t>
      </w:r>
      <w:r w:rsidR="0048136C">
        <w:rPr>
          <w:rFonts w:ascii="Arial" w:eastAsia="Times New Roman" w:hAnsi="Arial" w:cs="Arial"/>
          <w:bCs/>
          <w:iCs/>
          <w:sz w:val="20"/>
          <w:szCs w:val="20"/>
          <w:lang w:val="it-IT"/>
        </w:rPr>
        <w:t xml:space="preserve">risulta </w:t>
      </w:r>
      <w:r w:rsidRPr="00881BB1">
        <w:rPr>
          <w:rFonts w:ascii="Arial" w:eastAsia="Times New Roman" w:hAnsi="Arial" w:cs="Arial"/>
          <w:bCs/>
          <w:iCs/>
          <w:sz w:val="20"/>
          <w:szCs w:val="20"/>
          <w:lang w:val="it-IT"/>
        </w:rPr>
        <w:t>in miglioramento, mentre il 21,3% resta stazionari</w:t>
      </w:r>
      <w:r w:rsidR="005B2D9C">
        <w:rPr>
          <w:rFonts w:ascii="Arial" w:eastAsia="Times New Roman" w:hAnsi="Arial" w:cs="Arial"/>
          <w:bCs/>
          <w:iCs/>
          <w:sz w:val="20"/>
          <w:szCs w:val="20"/>
          <w:lang w:val="it-IT"/>
        </w:rPr>
        <w:t>o</w:t>
      </w:r>
      <w:r w:rsidRPr="00881BB1">
        <w:rPr>
          <w:rFonts w:ascii="Arial" w:eastAsia="Times New Roman" w:hAnsi="Arial" w:cs="Arial"/>
          <w:bCs/>
          <w:iCs/>
          <w:sz w:val="20"/>
          <w:szCs w:val="20"/>
          <w:lang w:val="it-IT"/>
        </w:rPr>
        <w:t xml:space="preserve"> e il 20,1% segnala un peggioramento. Nei </w:t>
      </w:r>
      <w:r w:rsidRPr="00BF6E62">
        <w:rPr>
          <w:rFonts w:ascii="Arial" w:eastAsia="Times New Roman" w:hAnsi="Arial" w:cs="Arial"/>
          <w:bCs/>
          <w:iCs/>
          <w:sz w:val="20"/>
          <w:szCs w:val="20"/>
          <w:lang w:val="it-IT"/>
        </w:rPr>
        <w:t>Goal</w:t>
      </w:r>
      <w:r w:rsidRPr="00881BB1">
        <w:rPr>
          <w:rFonts w:ascii="Arial" w:eastAsia="Times New Roman" w:hAnsi="Arial" w:cs="Arial"/>
          <w:bCs/>
          <w:iCs/>
          <w:sz w:val="20"/>
          <w:szCs w:val="20"/>
          <w:lang w:val="it-IT"/>
        </w:rPr>
        <w:t xml:space="preserve"> 5</w:t>
      </w:r>
      <w:r w:rsidR="00295459">
        <w:rPr>
          <w:rFonts w:ascii="Arial" w:eastAsia="Times New Roman" w:hAnsi="Arial" w:cs="Arial"/>
          <w:bCs/>
          <w:iCs/>
          <w:sz w:val="20"/>
          <w:szCs w:val="20"/>
          <w:lang w:val="it-IT"/>
        </w:rPr>
        <w:t xml:space="preserve"> </w:t>
      </w:r>
      <w:r w:rsidR="00295459" w:rsidRPr="00295459">
        <w:rPr>
          <w:rFonts w:ascii="Arial" w:eastAsia="Times New Roman" w:hAnsi="Arial" w:cs="Arial"/>
          <w:bCs/>
          <w:iCs/>
          <w:sz w:val="20"/>
          <w:szCs w:val="20"/>
          <w:lang w:val="it-IT"/>
        </w:rPr>
        <w:t>(Parità di genere)</w:t>
      </w:r>
      <w:r w:rsidRPr="00881BB1">
        <w:rPr>
          <w:rFonts w:ascii="Arial" w:eastAsia="Times New Roman" w:hAnsi="Arial" w:cs="Arial"/>
          <w:bCs/>
          <w:iCs/>
          <w:sz w:val="20"/>
          <w:szCs w:val="20"/>
          <w:lang w:val="it-IT"/>
        </w:rPr>
        <w:t>, 7</w:t>
      </w:r>
      <w:r w:rsidR="00295459">
        <w:rPr>
          <w:rFonts w:ascii="Arial" w:eastAsia="Times New Roman" w:hAnsi="Arial" w:cs="Arial"/>
          <w:bCs/>
          <w:iCs/>
          <w:sz w:val="20"/>
          <w:szCs w:val="20"/>
          <w:lang w:val="it-IT"/>
        </w:rPr>
        <w:t xml:space="preserve"> </w:t>
      </w:r>
      <w:r w:rsidR="00295459" w:rsidRPr="00295459">
        <w:rPr>
          <w:rFonts w:ascii="Arial" w:eastAsia="Times New Roman" w:hAnsi="Arial" w:cs="Arial"/>
          <w:bCs/>
          <w:iCs/>
          <w:sz w:val="20"/>
          <w:szCs w:val="20"/>
          <w:lang w:val="it-IT"/>
        </w:rPr>
        <w:t>(Energia pulita)</w:t>
      </w:r>
      <w:r w:rsidRPr="00881BB1">
        <w:rPr>
          <w:rFonts w:ascii="Arial" w:eastAsia="Times New Roman" w:hAnsi="Arial" w:cs="Arial"/>
          <w:bCs/>
          <w:iCs/>
          <w:sz w:val="20"/>
          <w:szCs w:val="20"/>
          <w:lang w:val="it-IT"/>
        </w:rPr>
        <w:t>, 8 (Lavoro</w:t>
      </w:r>
      <w:r w:rsidR="00107D0B">
        <w:rPr>
          <w:rFonts w:ascii="Arial" w:eastAsia="Times New Roman" w:hAnsi="Arial" w:cs="Arial"/>
          <w:bCs/>
          <w:iCs/>
          <w:sz w:val="20"/>
          <w:szCs w:val="20"/>
          <w:lang w:val="it-IT"/>
        </w:rPr>
        <w:t xml:space="preserve"> e crescita economica</w:t>
      </w:r>
      <w:r w:rsidRPr="00881BB1">
        <w:rPr>
          <w:rFonts w:ascii="Arial" w:eastAsia="Times New Roman" w:hAnsi="Arial" w:cs="Arial"/>
          <w:bCs/>
          <w:iCs/>
          <w:sz w:val="20"/>
          <w:szCs w:val="20"/>
          <w:lang w:val="it-IT"/>
        </w:rPr>
        <w:t xml:space="preserve">), 12 (Consumo e produzione responsabile), 16 </w:t>
      </w:r>
      <w:r w:rsidR="00295459" w:rsidRPr="00295459">
        <w:rPr>
          <w:rFonts w:ascii="Arial" w:eastAsia="Times New Roman" w:hAnsi="Arial" w:cs="Arial"/>
          <w:bCs/>
          <w:iCs/>
          <w:sz w:val="20"/>
          <w:szCs w:val="20"/>
          <w:lang w:val="it-IT"/>
        </w:rPr>
        <w:lastRenderedPageBreak/>
        <w:t xml:space="preserve">(Pace, giustizia e istituzioni) </w:t>
      </w:r>
      <w:r w:rsidRPr="00881BB1">
        <w:rPr>
          <w:rFonts w:ascii="Arial" w:eastAsia="Times New Roman" w:hAnsi="Arial" w:cs="Arial"/>
          <w:bCs/>
          <w:iCs/>
          <w:sz w:val="20"/>
          <w:szCs w:val="20"/>
          <w:lang w:val="it-IT"/>
        </w:rPr>
        <w:t>e 17</w:t>
      </w:r>
      <w:r w:rsidR="00295459">
        <w:rPr>
          <w:rFonts w:ascii="Arial" w:eastAsia="Times New Roman" w:hAnsi="Arial" w:cs="Arial"/>
          <w:bCs/>
          <w:iCs/>
          <w:sz w:val="20"/>
          <w:szCs w:val="20"/>
          <w:lang w:val="it-IT"/>
        </w:rPr>
        <w:t xml:space="preserve"> </w:t>
      </w:r>
      <w:r w:rsidR="00295459" w:rsidRPr="00295459">
        <w:rPr>
          <w:rFonts w:ascii="Arial" w:eastAsia="Times New Roman" w:hAnsi="Arial" w:cs="Arial"/>
          <w:bCs/>
          <w:iCs/>
          <w:sz w:val="20"/>
          <w:szCs w:val="20"/>
          <w:lang w:val="it-IT"/>
        </w:rPr>
        <w:t>(</w:t>
      </w:r>
      <w:r w:rsidR="00295459" w:rsidRPr="00BF6E62">
        <w:rPr>
          <w:rFonts w:ascii="Arial" w:eastAsia="Times New Roman" w:hAnsi="Arial" w:cs="Arial"/>
          <w:bCs/>
          <w:iCs/>
          <w:sz w:val="20"/>
          <w:szCs w:val="20"/>
          <w:lang w:val="it-IT"/>
        </w:rPr>
        <w:t>Partnership</w:t>
      </w:r>
      <w:r w:rsidR="00295459" w:rsidRPr="00295459">
        <w:rPr>
          <w:rFonts w:ascii="Arial" w:eastAsia="Times New Roman" w:hAnsi="Arial" w:cs="Arial"/>
          <w:bCs/>
          <w:iCs/>
          <w:sz w:val="20"/>
          <w:szCs w:val="20"/>
          <w:lang w:val="it-IT"/>
        </w:rPr>
        <w:t xml:space="preserve"> per gli obiettivi), </w:t>
      </w:r>
      <w:r w:rsidRPr="00881BB1">
        <w:rPr>
          <w:rFonts w:ascii="Arial" w:eastAsia="Times New Roman" w:hAnsi="Arial" w:cs="Arial"/>
          <w:bCs/>
          <w:iCs/>
          <w:sz w:val="20"/>
          <w:szCs w:val="20"/>
          <w:lang w:val="it-IT"/>
        </w:rPr>
        <w:t xml:space="preserve">tre quarti o più delle misure presentano una variazione positiva, mentre nei </w:t>
      </w:r>
      <w:r w:rsidRPr="00BF6E62">
        <w:rPr>
          <w:rFonts w:ascii="Arial" w:eastAsia="Times New Roman" w:hAnsi="Arial" w:cs="Arial"/>
          <w:bCs/>
          <w:iCs/>
          <w:sz w:val="20"/>
          <w:szCs w:val="20"/>
          <w:lang w:val="it-IT"/>
        </w:rPr>
        <w:t>Goal</w:t>
      </w:r>
      <w:r w:rsidRPr="00881BB1">
        <w:rPr>
          <w:rFonts w:ascii="Arial" w:eastAsia="Times New Roman" w:hAnsi="Arial" w:cs="Arial"/>
          <w:bCs/>
          <w:iCs/>
          <w:sz w:val="20"/>
          <w:szCs w:val="20"/>
          <w:lang w:val="it-IT"/>
        </w:rPr>
        <w:t xml:space="preserve"> 2 (Fame zero), 4 (Istruzione), 11 (Città sostenibili) e 13 (Cambiamento climatico) </w:t>
      </w:r>
      <w:r w:rsidR="0048136C">
        <w:rPr>
          <w:rFonts w:ascii="Arial" w:eastAsia="Times New Roman" w:hAnsi="Arial" w:cs="Arial"/>
          <w:bCs/>
          <w:iCs/>
          <w:sz w:val="20"/>
          <w:szCs w:val="20"/>
          <w:lang w:val="it-IT"/>
        </w:rPr>
        <w:t>oltre</w:t>
      </w:r>
      <w:r w:rsidRPr="00881BB1">
        <w:rPr>
          <w:rFonts w:ascii="Arial" w:eastAsia="Times New Roman" w:hAnsi="Arial" w:cs="Arial"/>
          <w:bCs/>
          <w:iCs/>
          <w:sz w:val="20"/>
          <w:szCs w:val="20"/>
          <w:lang w:val="it-IT"/>
        </w:rPr>
        <w:t xml:space="preserve"> un terzo degli indicatori peggiora </w:t>
      </w:r>
      <w:r>
        <w:rPr>
          <w:rFonts w:ascii="Arial" w:eastAsia="Times New Roman" w:hAnsi="Arial" w:cs="Arial"/>
          <w:bCs/>
          <w:iCs/>
          <w:sz w:val="20"/>
          <w:szCs w:val="20"/>
          <w:lang w:val="it-IT"/>
        </w:rPr>
        <w:t>(Figura 3</w:t>
      </w:r>
      <w:r w:rsidRPr="00881BB1">
        <w:rPr>
          <w:rFonts w:ascii="Arial" w:eastAsia="Times New Roman" w:hAnsi="Arial" w:cs="Arial"/>
          <w:bCs/>
          <w:iCs/>
          <w:sz w:val="20"/>
          <w:szCs w:val="20"/>
          <w:lang w:val="it-IT"/>
        </w:rPr>
        <w:t>).</w:t>
      </w:r>
    </w:p>
    <w:p w14:paraId="35C157F7" w14:textId="77777777" w:rsidR="00881BB1" w:rsidRPr="00881BB1" w:rsidRDefault="00881BB1" w:rsidP="00881BB1">
      <w:pPr>
        <w:pStyle w:val="Titolo2"/>
        <w:spacing w:before="0"/>
        <w:ind w:hanging="567"/>
        <w:jc w:val="both"/>
        <w:rPr>
          <w:rFonts w:ascii="Arial" w:eastAsia="Times New Roman" w:hAnsi="Arial" w:cs="Arial"/>
          <w:b w:val="0"/>
          <w:iCs/>
          <w:color w:val="auto"/>
          <w:sz w:val="20"/>
          <w:szCs w:val="20"/>
        </w:rPr>
      </w:pPr>
    </w:p>
    <w:p w14:paraId="49D058A9" w14:textId="45F7C9BF" w:rsidR="00163C20" w:rsidRPr="00163C20" w:rsidRDefault="00163C20" w:rsidP="00E34F20">
      <w:pPr>
        <w:pStyle w:val="Testonormale"/>
        <w:spacing w:after="160"/>
        <w:jc w:val="both"/>
        <w:rPr>
          <w:rFonts w:ascii="Arial" w:hAnsi="Arial" w:cs="Arial"/>
          <w:b/>
        </w:rPr>
      </w:pPr>
      <w:r w:rsidRPr="00E34F20">
        <w:rPr>
          <w:rFonts w:ascii="Arial" w:hAnsi="Arial" w:cs="Arial"/>
          <w:b/>
        </w:rPr>
        <w:t xml:space="preserve">Figura 3 - Evoluzione temporale dei </w:t>
      </w:r>
      <w:r w:rsidRPr="00BF6E62">
        <w:rPr>
          <w:rFonts w:ascii="Arial" w:hAnsi="Arial" w:cs="Arial"/>
          <w:b/>
        </w:rPr>
        <w:t>Goal</w:t>
      </w:r>
      <w:r w:rsidRPr="00E34F20">
        <w:rPr>
          <w:rFonts w:ascii="Arial" w:hAnsi="Arial" w:cs="Arial"/>
          <w:b/>
        </w:rPr>
        <w:t xml:space="preserve">: ultimo anno disponibile rispetto ai 10 anni precedenti, per </w:t>
      </w:r>
      <w:r w:rsidRPr="00BF6E62">
        <w:rPr>
          <w:rFonts w:ascii="Arial" w:hAnsi="Arial" w:cs="Arial"/>
          <w:b/>
        </w:rPr>
        <w:t>Goal</w:t>
      </w:r>
      <w:r w:rsidRPr="00E34F20">
        <w:rPr>
          <w:rFonts w:ascii="Arial" w:hAnsi="Arial" w:cs="Arial"/>
          <w:b/>
        </w:rPr>
        <w:t xml:space="preserve"> </w:t>
      </w:r>
      <w:r w:rsidRPr="00E34F20">
        <w:rPr>
          <w:rFonts w:ascii="Arial" w:hAnsi="Arial" w:cs="Arial"/>
          <w:bCs/>
        </w:rPr>
        <w:t>(a)</w:t>
      </w:r>
    </w:p>
    <w:p w14:paraId="0DD39BA1" w14:textId="0B4D0E2D" w:rsidR="00163C20" w:rsidRDefault="00163C20" w:rsidP="00E34F20">
      <w:pPr>
        <w:pStyle w:val="Titolo2"/>
        <w:spacing w:before="0"/>
        <w:jc w:val="center"/>
        <w:rPr>
          <w:rFonts w:ascii="Helvetica LT Std Cond" w:hAnsi="Helvetica LT Std Cond" w:cstheme="minorHAnsi"/>
          <w:noProof/>
          <w:sz w:val="24"/>
          <w:szCs w:val="24"/>
          <w:lang w:eastAsia="it-IT"/>
        </w:rPr>
      </w:pPr>
    </w:p>
    <w:p w14:paraId="262596A9" w14:textId="47917672" w:rsidR="00A871EF" w:rsidRPr="00A871EF" w:rsidRDefault="00A871EF" w:rsidP="00A871EF">
      <w:pPr>
        <w:rPr>
          <w:lang w:eastAsia="it-IT"/>
        </w:rPr>
      </w:pPr>
      <w:r>
        <w:rPr>
          <w:noProof/>
          <w:lang w:eastAsia="it-IT"/>
        </w:rPr>
        <w:drawing>
          <wp:inline distT="0" distB="0" distL="0" distR="0" wp14:anchorId="2192C84E" wp14:editId="0262A6E7">
            <wp:extent cx="6321287" cy="2877820"/>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24082" cy="2879093"/>
                    </a:xfrm>
                    <a:prstGeom prst="rect">
                      <a:avLst/>
                    </a:prstGeom>
                    <a:noFill/>
                  </pic:spPr>
                </pic:pic>
              </a:graphicData>
            </a:graphic>
          </wp:inline>
        </w:drawing>
      </w:r>
    </w:p>
    <w:p w14:paraId="5565B0F5" w14:textId="529E9014" w:rsidR="00163C20" w:rsidRPr="004C3B88" w:rsidRDefault="00163C20" w:rsidP="007E4820">
      <w:pPr>
        <w:pStyle w:val="Titolo2"/>
        <w:keepNext w:val="0"/>
        <w:keepLines w:val="0"/>
        <w:widowControl w:val="0"/>
        <w:numPr>
          <w:ilvl w:val="0"/>
          <w:numId w:val="5"/>
        </w:numPr>
        <w:autoSpaceDE w:val="0"/>
        <w:autoSpaceDN w:val="0"/>
        <w:spacing w:before="0" w:after="120" w:line="240" w:lineRule="auto"/>
        <w:ind w:left="357" w:hanging="357"/>
        <w:jc w:val="both"/>
        <w:rPr>
          <w:rFonts w:ascii="Helvetica LT Std Cond" w:hAnsi="Helvetica LT Std Cond" w:cstheme="minorHAnsi"/>
          <w:sz w:val="14"/>
          <w:szCs w:val="14"/>
        </w:rPr>
      </w:pPr>
      <w:r w:rsidRPr="004C3B88">
        <w:rPr>
          <w:rFonts w:ascii="Helvetica LT Std Cond" w:hAnsi="Helvetica LT Std Cond" w:cstheme="minorHAnsi"/>
          <w:sz w:val="14"/>
          <w:szCs w:val="14"/>
        </w:rPr>
        <w:t xml:space="preserve">Accanto a ciascun </w:t>
      </w:r>
      <w:r w:rsidRPr="007E4820">
        <w:rPr>
          <w:rFonts w:ascii="Helvetica LT Std Cond" w:hAnsi="Helvetica LT Std Cond" w:cstheme="minorHAnsi"/>
          <w:sz w:val="14"/>
          <w:szCs w:val="14"/>
        </w:rPr>
        <w:t>Goal</w:t>
      </w:r>
      <w:r w:rsidRPr="004C3B88">
        <w:rPr>
          <w:rFonts w:ascii="Helvetica LT Std Cond" w:hAnsi="Helvetica LT Std Cond" w:cstheme="minorHAnsi"/>
          <w:sz w:val="14"/>
          <w:szCs w:val="14"/>
        </w:rPr>
        <w:t xml:space="preserve"> viene indicato tra parentesi il numero di misure statistiche utilizzate per il calcolo </w:t>
      </w:r>
    </w:p>
    <w:p w14:paraId="16D67478" w14:textId="77777777" w:rsidR="00404D58" w:rsidRDefault="00404D58" w:rsidP="007E4820">
      <w:pPr>
        <w:pStyle w:val="Testonormale"/>
        <w:spacing w:after="120"/>
        <w:jc w:val="both"/>
        <w:rPr>
          <w:rFonts w:ascii="Arial" w:hAnsi="Arial" w:cs="Arial"/>
          <w:bCs/>
          <w:iCs/>
          <w:lang w:eastAsia="en-US"/>
        </w:rPr>
      </w:pPr>
    </w:p>
    <w:p w14:paraId="3A026257" w14:textId="2D25A2CF" w:rsidR="00DA027B" w:rsidRDefault="00DA027B" w:rsidP="001B7A31">
      <w:pPr>
        <w:pStyle w:val="Testonormale"/>
        <w:spacing w:after="120"/>
        <w:jc w:val="both"/>
        <w:rPr>
          <w:rFonts w:ascii="Arial" w:hAnsi="Arial" w:cs="Arial"/>
        </w:rPr>
      </w:pPr>
      <w:r w:rsidRPr="00DA027B">
        <w:rPr>
          <w:rFonts w:ascii="Arial" w:hAnsi="Arial" w:cs="Arial"/>
        </w:rPr>
        <w:t xml:space="preserve">Per misurare l’andamento delle disuguaglianze a livello interregionale, il Rapporto </w:t>
      </w:r>
      <w:proofErr w:type="spellStart"/>
      <w:r w:rsidRPr="00DA027B">
        <w:rPr>
          <w:rFonts w:ascii="Arial" w:hAnsi="Arial" w:cs="Arial"/>
        </w:rPr>
        <w:t>SDGs</w:t>
      </w:r>
      <w:proofErr w:type="spellEnd"/>
      <w:r w:rsidRPr="00DA027B">
        <w:rPr>
          <w:rFonts w:ascii="Arial" w:hAnsi="Arial" w:cs="Arial"/>
        </w:rPr>
        <w:t xml:space="preserve"> propone specifiche misure di convergenza nel tempo tra le regioni.</w:t>
      </w:r>
      <w:r w:rsidR="00AA4290">
        <w:rPr>
          <w:rFonts w:ascii="Arial" w:hAnsi="Arial" w:cs="Arial"/>
        </w:rPr>
        <w:t xml:space="preserve"> </w:t>
      </w:r>
      <w:r w:rsidRPr="00DA027B">
        <w:rPr>
          <w:rFonts w:ascii="Arial" w:hAnsi="Arial" w:cs="Arial"/>
        </w:rPr>
        <w:t>Nel complesso (Figura</w:t>
      </w:r>
      <w:r>
        <w:rPr>
          <w:rFonts w:ascii="Arial" w:hAnsi="Arial" w:cs="Arial"/>
        </w:rPr>
        <w:t xml:space="preserve"> 4</w:t>
      </w:r>
      <w:r w:rsidRPr="00DA027B">
        <w:rPr>
          <w:rFonts w:ascii="Arial" w:hAnsi="Arial" w:cs="Arial"/>
        </w:rPr>
        <w:t xml:space="preserve">), negli ultimi 10 anni, quasi la metà (47,8%) delle 159 misure statistiche analizzate indica una convergenza tra le regioni, il 17,6% è stabile e il 34,6% mostra una divergenza regionale. I </w:t>
      </w:r>
      <w:r w:rsidRPr="007E4820">
        <w:rPr>
          <w:rFonts w:ascii="Arial" w:hAnsi="Arial" w:cs="Arial"/>
        </w:rPr>
        <w:t>Goal</w:t>
      </w:r>
      <w:r w:rsidRPr="00DA027B">
        <w:rPr>
          <w:rFonts w:ascii="Arial" w:hAnsi="Arial" w:cs="Arial"/>
        </w:rPr>
        <w:t xml:space="preserve"> 9 (Infrastrutture) e 17 </w:t>
      </w:r>
      <w:r w:rsidRPr="00DA027B">
        <w:rPr>
          <w:rFonts w:ascii="Arial" w:eastAsiaTheme="minorHAnsi" w:hAnsi="Arial" w:cs="Arial"/>
        </w:rPr>
        <w:t>(</w:t>
      </w:r>
      <w:r w:rsidRPr="007E4820">
        <w:rPr>
          <w:rFonts w:ascii="Arial" w:eastAsiaTheme="minorHAnsi" w:hAnsi="Arial" w:cs="Arial"/>
        </w:rPr>
        <w:t>Partnership</w:t>
      </w:r>
      <w:r w:rsidR="00107D0B">
        <w:rPr>
          <w:rFonts w:ascii="Arial" w:eastAsiaTheme="minorHAnsi" w:hAnsi="Arial" w:cs="Arial"/>
        </w:rPr>
        <w:t xml:space="preserve"> per gli obiettivi</w:t>
      </w:r>
      <w:r w:rsidRPr="00DA027B">
        <w:rPr>
          <w:rFonts w:ascii="Arial" w:eastAsiaTheme="minorHAnsi" w:hAnsi="Arial" w:cs="Arial"/>
        </w:rPr>
        <w:t xml:space="preserve">) </w:t>
      </w:r>
      <w:r w:rsidRPr="00DA027B">
        <w:rPr>
          <w:rFonts w:ascii="Arial" w:hAnsi="Arial" w:cs="Arial"/>
        </w:rPr>
        <w:t>sono gli unici in cui tutte le misure statistiche mostrano una riduzione dei divari territoriali, grazie alla convergenza territoriale nell’ambito della digitalizzazione, ricerca e sviluppo</w:t>
      </w:r>
      <w:r w:rsidRPr="00DA027B">
        <w:rPr>
          <w:rStyle w:val="Rimandocommento"/>
          <w:rFonts w:ascii="Arial" w:eastAsiaTheme="minorHAnsi" w:hAnsi="Arial" w:cs="Arial"/>
          <w:sz w:val="20"/>
          <w:szCs w:val="20"/>
        </w:rPr>
        <w:t>.</w:t>
      </w:r>
      <w:r w:rsidRPr="00DA027B">
        <w:rPr>
          <w:rFonts w:ascii="Arial" w:hAnsi="Arial" w:cs="Arial"/>
        </w:rPr>
        <w:t xml:space="preserve"> I </w:t>
      </w:r>
      <w:r w:rsidRPr="007E4820">
        <w:rPr>
          <w:rFonts w:ascii="Arial" w:hAnsi="Arial" w:cs="Arial"/>
        </w:rPr>
        <w:t>Goal</w:t>
      </w:r>
      <w:r w:rsidRPr="00DA027B">
        <w:rPr>
          <w:rFonts w:ascii="Arial" w:hAnsi="Arial" w:cs="Arial"/>
        </w:rPr>
        <w:t xml:space="preserve"> 4, 10 e 13 si caratterizzano per una prevalenza di misure convergenti: il </w:t>
      </w:r>
      <w:r w:rsidRPr="007E4820">
        <w:rPr>
          <w:rFonts w:ascii="Arial" w:hAnsi="Arial" w:cs="Arial"/>
        </w:rPr>
        <w:t>Goal</w:t>
      </w:r>
      <w:r w:rsidRPr="00DA027B">
        <w:rPr>
          <w:rFonts w:ascii="Arial" w:hAnsi="Arial" w:cs="Arial"/>
        </w:rPr>
        <w:t xml:space="preserve"> 4 (Istruzione) per effetto di una minore disparità territoriale nelle competenze degli studenti, il </w:t>
      </w:r>
      <w:r w:rsidRPr="007E4820">
        <w:rPr>
          <w:rFonts w:ascii="Arial" w:hAnsi="Arial" w:cs="Arial"/>
        </w:rPr>
        <w:t>Goal</w:t>
      </w:r>
      <w:r w:rsidRPr="00DA027B">
        <w:rPr>
          <w:rFonts w:ascii="Arial" w:hAnsi="Arial" w:cs="Arial"/>
        </w:rPr>
        <w:t xml:space="preserve"> 10 (Ridurre le diseguaglianze) per effetto di una distribuzione più equa del reddito) e il </w:t>
      </w:r>
      <w:r w:rsidRPr="007E4820">
        <w:rPr>
          <w:rFonts w:ascii="Arial" w:hAnsi="Arial" w:cs="Arial"/>
        </w:rPr>
        <w:t>Goal</w:t>
      </w:r>
      <w:r w:rsidRPr="00DA027B">
        <w:rPr>
          <w:rFonts w:ascii="Arial" w:hAnsi="Arial" w:cs="Arial"/>
        </w:rPr>
        <w:t xml:space="preserve"> 13 per effetto di un avvicinamento dei valori regionali del numero di persone esposte al rischio di disastri naturali. All’opposto, nei </w:t>
      </w:r>
      <w:r w:rsidRPr="00CA4DEB">
        <w:rPr>
          <w:rFonts w:ascii="Arial" w:hAnsi="Arial" w:cs="Arial"/>
        </w:rPr>
        <w:t xml:space="preserve">Goal </w:t>
      </w:r>
      <w:r w:rsidRPr="00DA027B">
        <w:rPr>
          <w:rFonts w:ascii="Arial" w:hAnsi="Arial" w:cs="Arial"/>
        </w:rPr>
        <w:t xml:space="preserve">7 e 11, più della metà delle misure considerate è caratterizzato da divergenza. Questo avviene, per il </w:t>
      </w:r>
      <w:r w:rsidRPr="00CA4DEB">
        <w:rPr>
          <w:rFonts w:ascii="Arial" w:hAnsi="Arial" w:cs="Arial"/>
        </w:rPr>
        <w:t>Goal</w:t>
      </w:r>
      <w:r w:rsidRPr="00DA027B">
        <w:rPr>
          <w:rFonts w:ascii="Arial" w:hAnsi="Arial" w:cs="Arial"/>
        </w:rPr>
        <w:t xml:space="preserve"> 7, a causa dell’aumento delle distanze fra regioni per la quota di consumi energetici da fonti rinnovabili e per l’intensità energetica dell’industria; per il </w:t>
      </w:r>
      <w:r w:rsidRPr="00CA4DEB">
        <w:rPr>
          <w:rFonts w:ascii="Arial" w:hAnsi="Arial" w:cs="Arial"/>
        </w:rPr>
        <w:t>Goal</w:t>
      </w:r>
      <w:r w:rsidRPr="00DA027B">
        <w:rPr>
          <w:rFonts w:ascii="Arial" w:hAnsi="Arial" w:cs="Arial"/>
        </w:rPr>
        <w:t xml:space="preserve"> 11, per i divari dell’accesso al trasporto pubblico. </w:t>
      </w:r>
    </w:p>
    <w:p w14:paraId="507A38A4" w14:textId="3BDE282B" w:rsidR="00B62A5E" w:rsidRDefault="00B62A5E">
      <w:pPr>
        <w:rPr>
          <w:rFonts w:ascii="Arial" w:eastAsia="Times New Roman" w:hAnsi="Arial" w:cs="Arial"/>
          <w:sz w:val="20"/>
          <w:szCs w:val="20"/>
          <w:lang w:eastAsia="it-IT"/>
        </w:rPr>
      </w:pPr>
      <w:r>
        <w:rPr>
          <w:rFonts w:ascii="Arial" w:hAnsi="Arial" w:cs="Arial"/>
        </w:rPr>
        <w:br w:type="page"/>
      </w:r>
    </w:p>
    <w:p w14:paraId="3D3A8F63" w14:textId="50E5D9EA" w:rsidR="009F4117" w:rsidRPr="00CA4DEB" w:rsidRDefault="009F4117" w:rsidP="009F4117">
      <w:pPr>
        <w:adjustRightInd w:val="0"/>
        <w:ind w:left="567" w:hanging="567"/>
        <w:jc w:val="both"/>
        <w:rPr>
          <w:rFonts w:ascii="Arial" w:eastAsia="Times New Roman" w:hAnsi="Arial" w:cs="Arial"/>
          <w:b/>
          <w:sz w:val="20"/>
          <w:szCs w:val="20"/>
          <w:lang w:eastAsia="it-IT"/>
        </w:rPr>
      </w:pPr>
      <w:r w:rsidRPr="00CA4DEB">
        <w:rPr>
          <w:rFonts w:ascii="Arial" w:eastAsia="Times New Roman" w:hAnsi="Arial" w:cs="Arial"/>
          <w:b/>
          <w:sz w:val="20"/>
          <w:szCs w:val="20"/>
          <w:lang w:eastAsia="it-IT"/>
        </w:rPr>
        <w:lastRenderedPageBreak/>
        <w:t xml:space="preserve">Figura </w:t>
      </w:r>
      <w:r w:rsidR="00DA027B" w:rsidRPr="00CA4DEB">
        <w:rPr>
          <w:rFonts w:ascii="Arial" w:eastAsia="Times New Roman" w:hAnsi="Arial" w:cs="Arial"/>
          <w:b/>
          <w:sz w:val="20"/>
          <w:szCs w:val="20"/>
          <w:lang w:eastAsia="it-IT"/>
        </w:rPr>
        <w:t>4</w:t>
      </w:r>
      <w:r w:rsidRPr="00CA4DEB">
        <w:rPr>
          <w:rFonts w:ascii="Arial" w:eastAsia="Times New Roman" w:hAnsi="Arial" w:cs="Arial"/>
          <w:b/>
          <w:sz w:val="20"/>
          <w:szCs w:val="20"/>
          <w:lang w:eastAsia="it-IT"/>
        </w:rPr>
        <w:t xml:space="preserve"> - Convergenza tra regioni: ultimo anno disponibile rispetto ai 10 anni precedenti, per Goal (a) </w:t>
      </w:r>
    </w:p>
    <w:p w14:paraId="48341813" w14:textId="253BAC62" w:rsidR="009F4117" w:rsidRDefault="009F4117" w:rsidP="00E34F20">
      <w:pPr>
        <w:spacing w:after="120" w:line="240" w:lineRule="auto"/>
        <w:jc w:val="both"/>
        <w:rPr>
          <w:rFonts w:ascii="Arial" w:eastAsia="Times New Roman" w:hAnsi="Arial" w:cs="Arial"/>
          <w:b/>
          <w:bCs/>
          <w:iCs/>
          <w:color w:val="289AD1"/>
          <w:sz w:val="28"/>
          <w:szCs w:val="28"/>
          <w:highlight w:val="yellow"/>
        </w:rPr>
      </w:pPr>
      <w:r w:rsidRPr="009F4117">
        <w:rPr>
          <w:rFonts w:ascii="Arial" w:eastAsia="Times New Roman" w:hAnsi="Arial" w:cs="Arial"/>
          <w:b/>
          <w:bCs/>
          <w:iCs/>
          <w:noProof/>
          <w:color w:val="289AD1"/>
          <w:sz w:val="28"/>
          <w:szCs w:val="28"/>
          <w:lang w:eastAsia="it-IT"/>
        </w:rPr>
        <w:drawing>
          <wp:inline distT="0" distB="0" distL="0" distR="0" wp14:anchorId="7E0FDB08" wp14:editId="3812D034">
            <wp:extent cx="5334635" cy="26035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635" cy="2603500"/>
                    </a:xfrm>
                    <a:prstGeom prst="rect">
                      <a:avLst/>
                    </a:prstGeom>
                    <a:noFill/>
                  </pic:spPr>
                </pic:pic>
              </a:graphicData>
            </a:graphic>
          </wp:inline>
        </w:drawing>
      </w:r>
    </w:p>
    <w:p w14:paraId="53EC7BD9" w14:textId="77777777" w:rsidR="009F4117" w:rsidRPr="004C3B88" w:rsidRDefault="009F4117" w:rsidP="007E4820">
      <w:pPr>
        <w:pStyle w:val="Titolo2"/>
        <w:keepNext w:val="0"/>
        <w:keepLines w:val="0"/>
        <w:widowControl w:val="0"/>
        <w:numPr>
          <w:ilvl w:val="0"/>
          <w:numId w:val="12"/>
        </w:numPr>
        <w:autoSpaceDE w:val="0"/>
        <w:autoSpaceDN w:val="0"/>
        <w:spacing w:before="0" w:after="120" w:line="240" w:lineRule="auto"/>
        <w:ind w:left="357" w:hanging="357"/>
        <w:jc w:val="both"/>
        <w:rPr>
          <w:rFonts w:ascii="Helvetica LT Std Cond" w:hAnsi="Helvetica LT Std Cond" w:cstheme="minorHAnsi"/>
          <w:sz w:val="14"/>
          <w:szCs w:val="14"/>
        </w:rPr>
      </w:pPr>
      <w:r w:rsidRPr="004C3B88">
        <w:rPr>
          <w:rFonts w:ascii="Helvetica LT Std Cond" w:hAnsi="Helvetica LT Std Cond" w:cstheme="minorHAnsi"/>
          <w:sz w:val="14"/>
          <w:szCs w:val="14"/>
        </w:rPr>
        <w:t xml:space="preserve">Accanto a ciascun </w:t>
      </w:r>
      <w:r w:rsidRPr="007E4820">
        <w:rPr>
          <w:rFonts w:ascii="Helvetica LT Std Cond" w:hAnsi="Helvetica LT Std Cond" w:cstheme="minorHAnsi"/>
          <w:sz w:val="14"/>
          <w:szCs w:val="14"/>
        </w:rPr>
        <w:t>Goal</w:t>
      </w:r>
      <w:r w:rsidRPr="004C3B88">
        <w:rPr>
          <w:rFonts w:ascii="Helvetica LT Std Cond" w:hAnsi="Helvetica LT Std Cond" w:cstheme="minorHAnsi"/>
          <w:sz w:val="14"/>
          <w:szCs w:val="14"/>
        </w:rPr>
        <w:t xml:space="preserve"> viene indicato tra parentesi il numero di misure statistiche utilizzate per il calcolo </w:t>
      </w:r>
    </w:p>
    <w:p w14:paraId="7D50ECC9" w14:textId="77777777" w:rsidR="009F4117" w:rsidRPr="0094788C" w:rsidRDefault="009F4117" w:rsidP="00E34F20">
      <w:pPr>
        <w:spacing w:after="120" w:line="240" w:lineRule="auto"/>
        <w:jc w:val="both"/>
        <w:rPr>
          <w:rFonts w:ascii="Arial" w:eastAsia="Times New Roman" w:hAnsi="Arial" w:cs="Arial"/>
          <w:b/>
          <w:bCs/>
          <w:iCs/>
          <w:color w:val="289AD1"/>
          <w:sz w:val="28"/>
          <w:szCs w:val="28"/>
          <w:highlight w:val="yellow"/>
        </w:rPr>
      </w:pPr>
    </w:p>
    <w:p w14:paraId="30BE0670" w14:textId="738A31E4" w:rsidR="002717C6" w:rsidRDefault="002717C6" w:rsidP="00E34F20">
      <w:pPr>
        <w:spacing w:after="120" w:line="240" w:lineRule="auto"/>
        <w:jc w:val="both"/>
        <w:rPr>
          <w:rFonts w:ascii="Arial" w:eastAsia="Times New Roman" w:hAnsi="Arial" w:cs="Arial"/>
          <w:b/>
          <w:bCs/>
          <w:iCs/>
          <w:color w:val="289AD1"/>
          <w:sz w:val="28"/>
          <w:szCs w:val="28"/>
        </w:rPr>
      </w:pPr>
      <w:r w:rsidRPr="00A17E82">
        <w:rPr>
          <w:rFonts w:ascii="Arial" w:eastAsia="Times New Roman" w:hAnsi="Arial" w:cs="Arial"/>
          <w:b/>
          <w:bCs/>
          <w:iCs/>
          <w:color w:val="289AD1"/>
          <w:sz w:val="28"/>
          <w:szCs w:val="28"/>
        </w:rPr>
        <w:t>Principali risultati rilevati in Italia per i 17 Obiettivi</w:t>
      </w:r>
      <w:r w:rsidR="009507DB" w:rsidRPr="00A17E82">
        <w:rPr>
          <w:rFonts w:ascii="Arial" w:eastAsia="Times New Roman" w:hAnsi="Arial" w:cs="Arial"/>
          <w:b/>
          <w:bCs/>
          <w:iCs/>
          <w:color w:val="289AD1"/>
          <w:sz w:val="28"/>
          <w:szCs w:val="28"/>
        </w:rPr>
        <w:t xml:space="preserve"> </w:t>
      </w:r>
      <w:proofErr w:type="spellStart"/>
      <w:r w:rsidR="009507DB" w:rsidRPr="00A17E82">
        <w:rPr>
          <w:rFonts w:ascii="Arial" w:eastAsia="Times New Roman" w:hAnsi="Arial" w:cs="Arial"/>
          <w:b/>
          <w:bCs/>
          <w:iCs/>
          <w:color w:val="289AD1"/>
          <w:sz w:val="28"/>
          <w:szCs w:val="28"/>
        </w:rPr>
        <w:t>SDGs</w:t>
      </w:r>
      <w:proofErr w:type="spellEnd"/>
      <w:r w:rsidR="008D107D">
        <w:rPr>
          <w:rFonts w:ascii="Arial" w:eastAsia="Times New Roman" w:hAnsi="Arial" w:cs="Arial"/>
          <w:b/>
          <w:bCs/>
          <w:iCs/>
          <w:color w:val="289AD1"/>
          <w:sz w:val="28"/>
          <w:szCs w:val="28"/>
        </w:rPr>
        <w:t xml:space="preserve"> </w:t>
      </w:r>
    </w:p>
    <w:tbl>
      <w:tblPr>
        <w:tblStyle w:val="Grigliatabella"/>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926"/>
        <w:gridCol w:w="6567"/>
      </w:tblGrid>
      <w:tr w:rsidR="00DA027B" w:rsidRPr="00A03E49" w14:paraId="560D997F" w14:textId="77777777" w:rsidTr="00582270">
        <w:trPr>
          <w:trHeight w:val="1946"/>
        </w:trPr>
        <w:tc>
          <w:tcPr>
            <w:tcW w:w="1926" w:type="dxa"/>
          </w:tcPr>
          <w:p w14:paraId="636464C8" w14:textId="77777777" w:rsidR="00DA027B" w:rsidRDefault="00DA027B" w:rsidP="00582270">
            <w:pPr>
              <w:pStyle w:val="Titoloparagrafo"/>
              <w:spacing w:before="0" w:after="0"/>
            </w:pPr>
            <w:r>
              <w:rPr>
                <w:noProof/>
                <w:lang w:eastAsia="it-IT"/>
              </w:rPr>
              <w:drawing>
                <wp:anchor distT="0" distB="0" distL="114300" distR="114300" simplePos="0" relativeHeight="251659264" behindDoc="0" locked="0" layoutInCell="1" allowOverlap="1" wp14:anchorId="33792734" wp14:editId="49E1CEAE">
                  <wp:simplePos x="0" y="0"/>
                  <wp:positionH relativeFrom="column">
                    <wp:posOffset>4445</wp:posOffset>
                  </wp:positionH>
                  <wp:positionV relativeFrom="paragraph">
                    <wp:posOffset>107950</wp:posOffset>
                  </wp:positionV>
                  <wp:extent cx="1080000" cy="1080000"/>
                  <wp:effectExtent l="0" t="0" r="6350" b="6350"/>
                  <wp:wrapSquare wrapText="bothSides"/>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goal_I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p w14:paraId="1D7B4AEA" w14:textId="77777777" w:rsidR="00DA027B" w:rsidRDefault="00DA027B" w:rsidP="00582270">
            <w:pPr>
              <w:pStyle w:val="Titoloparagrafo"/>
              <w:spacing w:before="0" w:after="0"/>
            </w:pPr>
          </w:p>
          <w:p w14:paraId="1DF5A8F5" w14:textId="77777777" w:rsidR="00DA027B" w:rsidRPr="00F41602" w:rsidRDefault="00DA027B" w:rsidP="00582270">
            <w:pPr>
              <w:pStyle w:val="Titoloparagrafo"/>
              <w:spacing w:before="0" w:after="0"/>
            </w:pPr>
          </w:p>
          <w:p w14:paraId="745F9073" w14:textId="77777777" w:rsidR="00DA027B" w:rsidRPr="00F41602" w:rsidRDefault="00DA027B" w:rsidP="00582270">
            <w:pPr>
              <w:pStyle w:val="Titoloparagrafo"/>
              <w:spacing w:before="0" w:after="0"/>
            </w:pPr>
          </w:p>
          <w:p w14:paraId="4B14B2DD" w14:textId="77777777" w:rsidR="00DA027B" w:rsidRPr="00565939" w:rsidRDefault="00DA027B" w:rsidP="00582270">
            <w:pPr>
              <w:pStyle w:val="Titoloparagrafo"/>
              <w:spacing w:before="0" w:after="0"/>
            </w:pPr>
          </w:p>
        </w:tc>
        <w:tc>
          <w:tcPr>
            <w:tcW w:w="6567" w:type="dxa"/>
          </w:tcPr>
          <w:p w14:paraId="418CBDCF" w14:textId="77777777" w:rsidR="00802769" w:rsidRPr="00B7109E" w:rsidRDefault="00802769" w:rsidP="00081012">
            <w:pPr>
              <w:pStyle w:val="Paragrafoelenco"/>
              <w:widowControl/>
              <w:numPr>
                <w:ilvl w:val="0"/>
                <w:numId w:val="13"/>
              </w:numPr>
              <w:adjustRightInd w:val="0"/>
              <w:ind w:left="369"/>
              <w:jc w:val="both"/>
              <w:rPr>
                <w:rFonts w:ascii="Arial" w:eastAsiaTheme="minorEastAsia" w:hAnsi="Arial" w:cs="Arial"/>
                <w:color w:val="000000" w:themeColor="text1"/>
                <w:sz w:val="20"/>
                <w:szCs w:val="20"/>
                <w:lang w:val="it-IT"/>
              </w:rPr>
            </w:pPr>
            <w:r w:rsidRPr="00B7109E">
              <w:rPr>
                <w:rFonts w:ascii="Arial" w:eastAsiaTheme="minorEastAsia" w:hAnsi="Arial" w:cs="Arial"/>
                <w:color w:val="000000" w:themeColor="text1"/>
                <w:sz w:val="20"/>
                <w:szCs w:val="20"/>
                <w:lang w:val="it-IT"/>
              </w:rPr>
              <w:t>Nel 2022, un quinto della popolazione italiana è a rischio di povertà. Il dato è superiore alla media europea, ed è rimasto pressoché stabile nell’ultimo quinquennio.</w:t>
            </w:r>
          </w:p>
          <w:p w14:paraId="4F5A8E55" w14:textId="77777777" w:rsidR="00802769" w:rsidRPr="00B7109E" w:rsidRDefault="00802769" w:rsidP="00081012">
            <w:pPr>
              <w:pStyle w:val="Paragrafoelenco"/>
              <w:widowControl/>
              <w:numPr>
                <w:ilvl w:val="0"/>
                <w:numId w:val="13"/>
              </w:numPr>
              <w:adjustRightInd w:val="0"/>
              <w:ind w:left="369"/>
              <w:jc w:val="both"/>
              <w:rPr>
                <w:rFonts w:ascii="Arial" w:eastAsiaTheme="minorEastAsia" w:hAnsi="Arial" w:cs="Arial"/>
                <w:color w:val="000000" w:themeColor="text1"/>
                <w:sz w:val="20"/>
                <w:szCs w:val="20"/>
                <w:lang w:val="it-IT"/>
              </w:rPr>
            </w:pPr>
            <w:r w:rsidRPr="00B7109E">
              <w:rPr>
                <w:rFonts w:ascii="Arial" w:eastAsiaTheme="minorEastAsia" w:hAnsi="Arial" w:cs="Arial"/>
                <w:color w:val="000000" w:themeColor="text1"/>
                <w:sz w:val="20"/>
                <w:szCs w:val="20"/>
                <w:lang w:val="it-IT"/>
              </w:rPr>
              <w:t xml:space="preserve">Tra il 2021 e il 2022 è diminuita la percentuale di persone in condizioni di grave deprivazione materiale e sociale (-1,4 punti percentuali) e di persone che vivono in famiglie a bassa intensità di lavoro </w:t>
            </w:r>
            <w:r w:rsidRPr="0069103C">
              <w:rPr>
                <w:rFonts w:ascii="Arial" w:eastAsiaTheme="minorEastAsia" w:hAnsi="Arial" w:cs="Arial"/>
                <w:color w:val="000000" w:themeColor="text1"/>
                <w:sz w:val="20"/>
                <w:szCs w:val="20"/>
                <w:lang w:val="it-IT"/>
              </w:rPr>
              <w:t>(-1,0 p.p.).</w:t>
            </w:r>
          </w:p>
          <w:p w14:paraId="60132E71" w14:textId="77777777" w:rsidR="00802769" w:rsidRPr="00B7109E" w:rsidRDefault="00802769" w:rsidP="00081012">
            <w:pPr>
              <w:pStyle w:val="Paragrafoelenco"/>
              <w:widowControl/>
              <w:numPr>
                <w:ilvl w:val="0"/>
                <w:numId w:val="13"/>
              </w:numPr>
              <w:adjustRightInd w:val="0"/>
              <w:ind w:left="369"/>
              <w:jc w:val="both"/>
              <w:rPr>
                <w:rFonts w:ascii="Arial" w:eastAsiaTheme="minorEastAsia" w:hAnsi="Arial" w:cs="Arial"/>
                <w:color w:val="000000" w:themeColor="text1"/>
                <w:sz w:val="20"/>
                <w:szCs w:val="20"/>
                <w:lang w:val="it-IT"/>
              </w:rPr>
            </w:pPr>
            <w:r w:rsidRPr="00B7109E">
              <w:rPr>
                <w:rFonts w:ascii="Arial" w:eastAsiaTheme="minorEastAsia" w:hAnsi="Arial" w:cs="Arial"/>
                <w:color w:val="000000" w:themeColor="text1"/>
                <w:sz w:val="20"/>
                <w:szCs w:val="20"/>
                <w:lang w:val="it-IT"/>
              </w:rPr>
              <w:t xml:space="preserve">Quasi un quarto della popolazione italiana, nel 2022, è a rischio di povertà o di esclusione sociale. Le notevoli differenze territoriali restano invariate: nel Nord è a rischio meno del 15% della popolazione, nel Mezzogiorno oltre il 40%. </w:t>
            </w:r>
          </w:p>
          <w:p w14:paraId="741EA0D9" w14:textId="766FCDE6" w:rsidR="00DA027B" w:rsidRPr="00B7109E" w:rsidRDefault="00802769" w:rsidP="00081012">
            <w:pPr>
              <w:pStyle w:val="Paragrafoelenco"/>
              <w:widowControl/>
              <w:numPr>
                <w:ilvl w:val="0"/>
                <w:numId w:val="13"/>
              </w:numPr>
              <w:adjustRightInd w:val="0"/>
              <w:ind w:left="369"/>
              <w:jc w:val="both"/>
              <w:rPr>
                <w:rFonts w:ascii="Arial" w:hAnsi="Arial" w:cs="Arial"/>
                <w:color w:val="000000" w:themeColor="text1"/>
                <w:sz w:val="20"/>
                <w:szCs w:val="20"/>
                <w:lang w:val="it-IT"/>
              </w:rPr>
            </w:pPr>
            <w:r w:rsidRPr="00B7109E">
              <w:rPr>
                <w:rFonts w:ascii="Arial" w:eastAsiaTheme="minorEastAsia" w:hAnsi="Arial" w:cs="Arial"/>
                <w:color w:val="000000" w:themeColor="text1"/>
                <w:sz w:val="20"/>
                <w:szCs w:val="20"/>
                <w:lang w:val="it-IT"/>
              </w:rPr>
              <w:t>Nel 2022, circa 2,7 milioni di persone (11,5%), malgrado lavorino, sono a rischio di povertà. La situazione è più grave per i lavoratori stranieri: è a rischio di povertà quasi un quarto di loro.</w:t>
            </w:r>
          </w:p>
        </w:tc>
      </w:tr>
      <w:tr w:rsidR="00DA027B" w:rsidRPr="00A03E49" w14:paraId="1229A772" w14:textId="77777777" w:rsidTr="00582270">
        <w:tc>
          <w:tcPr>
            <w:tcW w:w="1926" w:type="dxa"/>
          </w:tcPr>
          <w:p w14:paraId="62C66FEE" w14:textId="77777777" w:rsidR="00DA027B" w:rsidRPr="00D40F1D" w:rsidRDefault="00DA027B" w:rsidP="00582270">
            <w:pPr>
              <w:pStyle w:val="Titoloparagrafo"/>
              <w:spacing w:before="0" w:after="0"/>
            </w:pPr>
            <w:r w:rsidRPr="00D40F1D">
              <w:rPr>
                <w:rFonts w:ascii="Helvetica LT Std Cond" w:hAnsi="Helvetica LT Std Cond"/>
                <w:noProof/>
                <w:lang w:eastAsia="it-IT"/>
              </w:rPr>
              <w:drawing>
                <wp:anchor distT="0" distB="0" distL="114300" distR="114300" simplePos="0" relativeHeight="251660288" behindDoc="0" locked="0" layoutInCell="1" allowOverlap="1" wp14:anchorId="76C2CC6A" wp14:editId="2A28EB3B">
                  <wp:simplePos x="0" y="0"/>
                  <wp:positionH relativeFrom="column">
                    <wp:posOffset>-1905</wp:posOffset>
                  </wp:positionH>
                  <wp:positionV relativeFrom="paragraph">
                    <wp:posOffset>93345</wp:posOffset>
                  </wp:positionV>
                  <wp:extent cx="1080000" cy="1080000"/>
                  <wp:effectExtent l="0" t="0" r="6350" b="6350"/>
                  <wp:wrapSquare wrapText="bothSides"/>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2goal_I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tc>
        <w:tc>
          <w:tcPr>
            <w:tcW w:w="6567" w:type="dxa"/>
          </w:tcPr>
          <w:p w14:paraId="486D42FD" w14:textId="77777777" w:rsidR="00802769" w:rsidRPr="00B7109E" w:rsidRDefault="00802769" w:rsidP="00081012">
            <w:pPr>
              <w:pStyle w:val="Paragrafoelenco"/>
              <w:widowControl/>
              <w:numPr>
                <w:ilvl w:val="0"/>
                <w:numId w:val="13"/>
              </w:numPr>
              <w:adjustRightInd w:val="0"/>
              <w:ind w:left="369"/>
              <w:jc w:val="both"/>
              <w:rPr>
                <w:rFonts w:ascii="Arial" w:eastAsiaTheme="minorEastAsia" w:hAnsi="Arial" w:cs="Arial"/>
                <w:color w:val="000000" w:themeColor="text1"/>
                <w:sz w:val="20"/>
                <w:szCs w:val="20"/>
                <w:lang w:val="it-IT"/>
              </w:rPr>
            </w:pPr>
            <w:r w:rsidRPr="00B7109E">
              <w:rPr>
                <w:rFonts w:ascii="Arial" w:eastAsia="Times New Roman" w:hAnsi="Arial" w:cs="Arial"/>
                <w:bCs/>
                <w:color w:val="000000" w:themeColor="text1"/>
                <w:sz w:val="20"/>
                <w:szCs w:val="20"/>
                <w:lang w:val="it-IT"/>
              </w:rPr>
              <w:t>Le famiglie con segnali di insicurezza alimentare sono in lieve calo (da 1,7% nel 2021 a 1,3% nel 2022), ma si allarga la forbice fra il Mezzogiorno e il resto del Paese.</w:t>
            </w:r>
          </w:p>
          <w:p w14:paraId="22AFB0CA" w14:textId="77777777" w:rsidR="00802769" w:rsidRPr="00B7109E" w:rsidRDefault="00802769" w:rsidP="00081012">
            <w:pPr>
              <w:pStyle w:val="Paragrafoelenco"/>
              <w:widowControl/>
              <w:numPr>
                <w:ilvl w:val="0"/>
                <w:numId w:val="13"/>
              </w:numPr>
              <w:adjustRightInd w:val="0"/>
              <w:ind w:left="369"/>
              <w:jc w:val="both"/>
              <w:rPr>
                <w:rFonts w:ascii="Arial" w:eastAsiaTheme="minorEastAsia" w:hAnsi="Arial" w:cs="Arial"/>
                <w:color w:val="000000" w:themeColor="text1"/>
                <w:sz w:val="20"/>
                <w:szCs w:val="20"/>
                <w:lang w:val="it-IT"/>
              </w:rPr>
            </w:pPr>
            <w:r w:rsidRPr="00B7109E">
              <w:rPr>
                <w:rFonts w:ascii="Arial" w:eastAsiaTheme="minorEastAsia" w:hAnsi="Arial" w:cs="Arial"/>
                <w:color w:val="000000" w:themeColor="text1"/>
                <w:sz w:val="20"/>
                <w:szCs w:val="20"/>
                <w:lang w:val="it-IT"/>
              </w:rPr>
              <w:t xml:space="preserve">Sono sempre di più i bambini e gli adolescenti sovrappeso: nel 2021 sono il 33,3% nella classe 3-5 anni (+2,5 p.p. dal 2017) e il 27% nella classe 3-17 anni. </w:t>
            </w:r>
          </w:p>
          <w:p w14:paraId="491DF6CC" w14:textId="77777777" w:rsidR="00802769" w:rsidRPr="00B7109E" w:rsidRDefault="00802769" w:rsidP="00081012">
            <w:pPr>
              <w:pStyle w:val="Paragrafoelenco"/>
              <w:widowControl/>
              <w:numPr>
                <w:ilvl w:val="0"/>
                <w:numId w:val="13"/>
              </w:numPr>
              <w:adjustRightInd w:val="0"/>
              <w:ind w:left="369"/>
              <w:jc w:val="both"/>
              <w:rPr>
                <w:rFonts w:ascii="Arial" w:eastAsiaTheme="minorEastAsia" w:hAnsi="Arial" w:cs="Arial"/>
                <w:color w:val="000000" w:themeColor="text1"/>
                <w:sz w:val="20"/>
                <w:szCs w:val="20"/>
                <w:lang w:val="it-IT"/>
              </w:rPr>
            </w:pPr>
            <w:r w:rsidRPr="00B7109E">
              <w:rPr>
                <w:rFonts w:ascii="Arial" w:eastAsiaTheme="minorEastAsia" w:hAnsi="Arial" w:cs="Arial"/>
                <w:color w:val="000000" w:themeColor="text1"/>
                <w:sz w:val="20"/>
                <w:szCs w:val="20"/>
                <w:lang w:val="it-IT"/>
              </w:rPr>
              <w:t>Migliorano nel 2021 gli indicatori economici delle piccole aziende agricole.</w:t>
            </w:r>
          </w:p>
          <w:p w14:paraId="1D91B98B" w14:textId="77777777" w:rsidR="00802769" w:rsidRPr="00B7109E" w:rsidRDefault="00802769" w:rsidP="00081012">
            <w:pPr>
              <w:pStyle w:val="Paragrafoelenco"/>
              <w:widowControl/>
              <w:numPr>
                <w:ilvl w:val="0"/>
                <w:numId w:val="13"/>
              </w:numPr>
              <w:adjustRightInd w:val="0"/>
              <w:ind w:left="369"/>
              <w:jc w:val="both"/>
              <w:rPr>
                <w:rFonts w:ascii="Arial" w:eastAsiaTheme="minorEastAsia" w:hAnsi="Arial" w:cs="Arial"/>
                <w:color w:val="000000" w:themeColor="text1"/>
                <w:sz w:val="20"/>
                <w:szCs w:val="20"/>
                <w:lang w:val="it-IT"/>
              </w:rPr>
            </w:pPr>
            <w:r w:rsidRPr="00B7109E">
              <w:rPr>
                <w:rFonts w:ascii="Arial" w:eastAsiaTheme="minorEastAsia" w:hAnsi="Arial" w:cs="Arial"/>
                <w:color w:val="000000" w:themeColor="text1"/>
                <w:sz w:val="20"/>
                <w:szCs w:val="20"/>
                <w:lang w:val="it-IT"/>
              </w:rPr>
              <w:t>Nel 2021, non si registrano progressi significativi nella riduzione di fertilizzanti e pesticidi. Le quantità distribuite per ettaro sono molto maggiori nel Nord.</w:t>
            </w:r>
          </w:p>
          <w:p w14:paraId="7A87BD45" w14:textId="77777777" w:rsidR="00802769" w:rsidRPr="00B7109E" w:rsidRDefault="00802769" w:rsidP="00081012">
            <w:pPr>
              <w:pStyle w:val="Paragrafoelenco"/>
              <w:widowControl/>
              <w:numPr>
                <w:ilvl w:val="0"/>
                <w:numId w:val="13"/>
              </w:numPr>
              <w:adjustRightInd w:val="0"/>
              <w:ind w:left="369"/>
              <w:jc w:val="both"/>
              <w:rPr>
                <w:rFonts w:ascii="Arial" w:eastAsiaTheme="minorEastAsia" w:hAnsi="Arial" w:cs="Arial"/>
                <w:color w:val="000000" w:themeColor="text1"/>
                <w:sz w:val="20"/>
                <w:szCs w:val="20"/>
                <w:lang w:val="it-IT"/>
              </w:rPr>
            </w:pPr>
            <w:r w:rsidRPr="00B7109E">
              <w:rPr>
                <w:rFonts w:ascii="Arial" w:eastAsiaTheme="minorEastAsia" w:hAnsi="Arial" w:cs="Arial"/>
                <w:color w:val="000000" w:themeColor="text1"/>
                <w:sz w:val="20"/>
                <w:szCs w:val="20"/>
                <w:lang w:val="it-IT"/>
              </w:rPr>
              <w:t>Raggiunto l’obiettivo per il 2020 sulla riduzione delle emissioni di ammoniaca, l’Italia è in buona posizione anche rispetto all’obiettivo per il 2030.</w:t>
            </w:r>
          </w:p>
          <w:p w14:paraId="71C0F2A5" w14:textId="59E2432B" w:rsidR="00DA027B" w:rsidRPr="00B7109E" w:rsidRDefault="00802769" w:rsidP="00081012">
            <w:pPr>
              <w:pStyle w:val="Paragrafoelenco"/>
              <w:widowControl/>
              <w:numPr>
                <w:ilvl w:val="0"/>
                <w:numId w:val="13"/>
              </w:numPr>
              <w:adjustRightInd w:val="0"/>
              <w:ind w:left="369"/>
              <w:jc w:val="both"/>
              <w:rPr>
                <w:rFonts w:ascii="Arial" w:hAnsi="Arial" w:cs="Arial"/>
                <w:color w:val="000000" w:themeColor="text1"/>
                <w:sz w:val="20"/>
                <w:szCs w:val="20"/>
                <w:lang w:val="it-IT"/>
              </w:rPr>
            </w:pPr>
            <w:r w:rsidRPr="00B7109E">
              <w:rPr>
                <w:rFonts w:ascii="Arial" w:eastAsiaTheme="minorEastAsia" w:hAnsi="Arial" w:cs="Arial"/>
                <w:color w:val="000000" w:themeColor="text1"/>
                <w:sz w:val="20"/>
                <w:szCs w:val="20"/>
                <w:lang w:val="it-IT"/>
              </w:rPr>
              <w:t>Continua a crescere l’impiego di lavoro irregolare in agricoltura (24,4% nel 2020, +3,7 p.p. dal 2010). L’irregolarità è più diffusa nel Mezzogiorno, ma è presente in misura rilevante in tutto il Paese.</w:t>
            </w:r>
          </w:p>
        </w:tc>
      </w:tr>
      <w:tr w:rsidR="00DA027B" w:rsidRPr="00A03E49" w14:paraId="3F1D8B23" w14:textId="77777777" w:rsidTr="00582270">
        <w:tc>
          <w:tcPr>
            <w:tcW w:w="1926" w:type="dxa"/>
          </w:tcPr>
          <w:p w14:paraId="63096B7F" w14:textId="77777777" w:rsidR="00DA027B" w:rsidRPr="00D40F1D" w:rsidRDefault="00DA027B" w:rsidP="00582270">
            <w:pPr>
              <w:pStyle w:val="Titoloparagrafo"/>
              <w:spacing w:before="0" w:after="0"/>
            </w:pPr>
            <w:r w:rsidRPr="00D40F1D">
              <w:rPr>
                <w:rFonts w:ascii="Helvetica LT Std Cond" w:hAnsi="Helvetica LT Std Cond"/>
                <w:noProof/>
                <w:sz w:val="24"/>
                <w:szCs w:val="24"/>
                <w:lang w:eastAsia="it-IT"/>
              </w:rPr>
              <w:lastRenderedPageBreak/>
              <w:drawing>
                <wp:anchor distT="0" distB="0" distL="114300" distR="114300" simplePos="0" relativeHeight="251661312" behindDoc="0" locked="0" layoutInCell="1" allowOverlap="1" wp14:anchorId="7ED4FF7C" wp14:editId="4C5A3C12">
                  <wp:simplePos x="0" y="0"/>
                  <wp:positionH relativeFrom="margin">
                    <wp:posOffset>3810</wp:posOffset>
                  </wp:positionH>
                  <wp:positionV relativeFrom="paragraph">
                    <wp:posOffset>107950</wp:posOffset>
                  </wp:positionV>
                  <wp:extent cx="1080000" cy="1080000"/>
                  <wp:effectExtent l="0" t="0" r="6350" b="6350"/>
                  <wp:wrapSquare wrapText="bothSides"/>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3goal_I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tc>
        <w:tc>
          <w:tcPr>
            <w:tcW w:w="6567" w:type="dxa"/>
          </w:tcPr>
          <w:p w14:paraId="2719041E" w14:textId="77777777" w:rsidR="00802769" w:rsidRPr="00B7109E" w:rsidRDefault="00802769" w:rsidP="00081012">
            <w:pPr>
              <w:pStyle w:val="Default"/>
              <w:numPr>
                <w:ilvl w:val="0"/>
                <w:numId w:val="14"/>
              </w:numPr>
              <w:ind w:left="369" w:hanging="357"/>
              <w:jc w:val="both"/>
              <w:rPr>
                <w:rStyle w:val="Enfasigrassetto"/>
                <w:rFonts w:ascii="Arial" w:eastAsia="Helvetica LT Std Cond" w:hAnsi="Arial" w:cs="Arial"/>
                <w:b w:val="0"/>
                <w:bCs w:val="0"/>
                <w:color w:val="000000" w:themeColor="text1"/>
                <w:sz w:val="20"/>
                <w:szCs w:val="20"/>
              </w:rPr>
            </w:pPr>
            <w:r w:rsidRPr="00B7109E">
              <w:rPr>
                <w:rStyle w:val="Enfasigrassetto"/>
                <w:rFonts w:ascii="Arial" w:eastAsia="Helvetica LT Std Cond" w:hAnsi="Arial" w:cs="Arial"/>
                <w:b w:val="0"/>
                <w:color w:val="000000" w:themeColor="text1"/>
                <w:sz w:val="20"/>
                <w:szCs w:val="20"/>
              </w:rPr>
              <w:t xml:space="preserve">Nel 2022, i decessi in Italia sono stati 713.499, circa 12 mila in più del 2021, e più elevati anche della media </w:t>
            </w:r>
            <w:proofErr w:type="spellStart"/>
            <w:r w:rsidRPr="00B7109E">
              <w:rPr>
                <w:rStyle w:val="Enfasigrassetto"/>
                <w:rFonts w:ascii="Arial" w:eastAsia="Helvetica LT Std Cond" w:hAnsi="Arial" w:cs="Arial"/>
                <w:b w:val="0"/>
                <w:color w:val="000000" w:themeColor="text1"/>
                <w:sz w:val="20"/>
                <w:szCs w:val="20"/>
              </w:rPr>
              <w:t>pre</w:t>
            </w:r>
            <w:proofErr w:type="spellEnd"/>
            <w:r w:rsidRPr="00B7109E">
              <w:rPr>
                <w:rStyle w:val="Enfasigrassetto"/>
                <w:rFonts w:ascii="Arial" w:eastAsia="Helvetica LT Std Cond" w:hAnsi="Arial" w:cs="Arial"/>
                <w:b w:val="0"/>
                <w:color w:val="000000" w:themeColor="text1"/>
                <w:sz w:val="20"/>
                <w:szCs w:val="20"/>
              </w:rPr>
              <w:t>-pandemia.</w:t>
            </w:r>
          </w:p>
          <w:p w14:paraId="05BFB0DE" w14:textId="77777777" w:rsidR="00802769" w:rsidRPr="00B7109E" w:rsidRDefault="00802769" w:rsidP="00081012">
            <w:pPr>
              <w:pStyle w:val="Default"/>
              <w:numPr>
                <w:ilvl w:val="0"/>
                <w:numId w:val="14"/>
              </w:numPr>
              <w:ind w:left="369" w:hanging="357"/>
              <w:jc w:val="both"/>
              <w:rPr>
                <w:rStyle w:val="Enfasigrassetto"/>
                <w:rFonts w:ascii="Arial" w:eastAsia="Helvetica LT Std Cond" w:hAnsi="Arial" w:cs="Arial"/>
                <w:b w:val="0"/>
                <w:color w:val="000000" w:themeColor="text1"/>
                <w:sz w:val="20"/>
                <w:szCs w:val="20"/>
              </w:rPr>
            </w:pPr>
            <w:r w:rsidRPr="00B7109E">
              <w:rPr>
                <w:rStyle w:val="Enfasigrassetto"/>
                <w:rFonts w:ascii="Arial" w:eastAsia="Helvetica LT Std Cond" w:hAnsi="Arial" w:cs="Arial"/>
                <w:b w:val="0"/>
                <w:color w:val="000000" w:themeColor="text1"/>
                <w:sz w:val="20"/>
                <w:szCs w:val="20"/>
              </w:rPr>
              <w:t>Nei primi sei mesi del 2022 si assiste ad una netta ripresa della mobilità e, come conseguenza, dell’incidentalità stradale, che comunque resta su livelli inferiori rispetto a prima della pandemia.</w:t>
            </w:r>
          </w:p>
          <w:p w14:paraId="25F0F071" w14:textId="77777777" w:rsidR="00802769" w:rsidRPr="00B7109E" w:rsidRDefault="00802769" w:rsidP="00081012">
            <w:pPr>
              <w:pStyle w:val="Default"/>
              <w:numPr>
                <w:ilvl w:val="0"/>
                <w:numId w:val="14"/>
              </w:numPr>
              <w:ind w:left="369" w:hanging="357"/>
              <w:jc w:val="both"/>
              <w:rPr>
                <w:rStyle w:val="Enfasigrassetto"/>
                <w:rFonts w:ascii="Arial" w:eastAsia="Helvetica LT Std Cond" w:hAnsi="Arial" w:cs="Arial"/>
                <w:b w:val="0"/>
                <w:color w:val="000000" w:themeColor="text1"/>
                <w:sz w:val="20"/>
                <w:szCs w:val="20"/>
              </w:rPr>
            </w:pPr>
            <w:r w:rsidRPr="00B7109E">
              <w:rPr>
                <w:rStyle w:val="Enfasigrassetto"/>
                <w:rFonts w:ascii="Arial" w:eastAsia="Helvetica LT Std Cond" w:hAnsi="Arial" w:cs="Arial"/>
                <w:b w:val="0"/>
                <w:color w:val="000000" w:themeColor="text1"/>
                <w:sz w:val="20"/>
                <w:szCs w:val="20"/>
              </w:rPr>
              <w:t xml:space="preserve">Dal 2010 al 2020, lenta ma costante diminuzione della mortalità per le cause di morte più diffuse (tumori maligni, diabete mellito, malattie cardiovascolari e malattie respiratorie croniche): dal 10,2% all’8,6%, per le persone di 30-69 anni. </w:t>
            </w:r>
          </w:p>
          <w:p w14:paraId="2744F6F2" w14:textId="77777777" w:rsidR="00802769" w:rsidRPr="00B7109E" w:rsidRDefault="00802769" w:rsidP="00081012">
            <w:pPr>
              <w:pStyle w:val="Titoloparagrafo"/>
              <w:numPr>
                <w:ilvl w:val="0"/>
                <w:numId w:val="14"/>
              </w:numPr>
              <w:spacing w:before="0" w:after="0" w:line="240" w:lineRule="auto"/>
              <w:ind w:left="369" w:hanging="357"/>
              <w:jc w:val="both"/>
              <w:outlineLvl w:val="0"/>
              <w:rPr>
                <w:rStyle w:val="Enfasigrassetto"/>
                <w:rFonts w:ascii="Arial" w:eastAsia="Helvetica LT Std Cond" w:hAnsi="Arial" w:cs="Arial"/>
                <w:b w:val="0"/>
                <w:color w:val="000000" w:themeColor="text1"/>
                <w:w w:val="100"/>
                <w:sz w:val="20"/>
                <w:szCs w:val="20"/>
              </w:rPr>
            </w:pPr>
            <w:r w:rsidRPr="00B7109E">
              <w:rPr>
                <w:rStyle w:val="Enfasigrassetto"/>
                <w:rFonts w:ascii="Arial" w:eastAsia="Helvetica LT Std Cond" w:hAnsi="Arial" w:cs="Arial"/>
                <w:b w:val="0"/>
                <w:color w:val="000000" w:themeColor="text1"/>
                <w:w w:val="100"/>
                <w:sz w:val="20"/>
                <w:szCs w:val="20"/>
              </w:rPr>
              <w:t>Nel 2022 stabile la quota di persone in eccesso di peso; tra i maschi aumenta l’abuso di alcol e l’abitudine al fumo.</w:t>
            </w:r>
          </w:p>
          <w:p w14:paraId="7B6DD1FB" w14:textId="753B5FC2" w:rsidR="00DA027B" w:rsidRPr="00B7109E" w:rsidRDefault="00802769" w:rsidP="00081012">
            <w:pPr>
              <w:pStyle w:val="Default"/>
              <w:numPr>
                <w:ilvl w:val="0"/>
                <w:numId w:val="14"/>
              </w:numPr>
              <w:tabs>
                <w:tab w:val="left" w:pos="0"/>
                <w:tab w:val="left" w:pos="851"/>
                <w:tab w:val="left" w:pos="5954"/>
                <w:tab w:val="left" w:pos="8789"/>
              </w:tabs>
              <w:ind w:left="369" w:right="-34" w:hanging="357"/>
              <w:jc w:val="both"/>
              <w:rPr>
                <w:rFonts w:ascii="Arial" w:hAnsi="Arial" w:cs="Arial"/>
                <w:color w:val="000000" w:themeColor="text1"/>
                <w:sz w:val="20"/>
                <w:szCs w:val="20"/>
              </w:rPr>
            </w:pPr>
            <w:r w:rsidRPr="00B7109E">
              <w:rPr>
                <w:rStyle w:val="Enfasigrassetto"/>
                <w:rFonts w:ascii="Arial" w:eastAsia="Helvetica LT Std Cond" w:hAnsi="Arial" w:cs="Arial"/>
                <w:b w:val="0"/>
                <w:color w:val="000000" w:themeColor="text1"/>
                <w:sz w:val="20"/>
                <w:szCs w:val="20"/>
              </w:rPr>
              <w:t xml:space="preserve">La copertura vaccinale antinfluenzale diminuisce nella stagione invernale 2021/2022: 58,1% di anziani vaccinati, una percentuale ancora distante dal valore soglia raccomandato dall’OMS (75%). </w:t>
            </w:r>
          </w:p>
        </w:tc>
      </w:tr>
      <w:tr w:rsidR="00DA027B" w:rsidRPr="00A03E49" w14:paraId="68B8D373" w14:textId="77777777" w:rsidTr="00582270">
        <w:tc>
          <w:tcPr>
            <w:tcW w:w="1926" w:type="dxa"/>
          </w:tcPr>
          <w:p w14:paraId="6B6F886B" w14:textId="77777777" w:rsidR="00DA027B" w:rsidRPr="00D40F1D" w:rsidRDefault="00DA027B" w:rsidP="00582270">
            <w:pPr>
              <w:pStyle w:val="Titoloparagrafo"/>
              <w:spacing w:before="0" w:after="0"/>
            </w:pPr>
            <w:r w:rsidRPr="00D40F1D">
              <w:rPr>
                <w:rFonts w:ascii="Helvetica LT Std Cond" w:hAnsi="Helvetica LT Std Cond"/>
                <w:noProof/>
                <w:lang w:eastAsia="it-IT"/>
              </w:rPr>
              <w:drawing>
                <wp:anchor distT="0" distB="0" distL="114300" distR="114300" simplePos="0" relativeHeight="251662336" behindDoc="0" locked="0" layoutInCell="1" allowOverlap="1" wp14:anchorId="3CBF5A7A" wp14:editId="13FECF4B">
                  <wp:simplePos x="0" y="0"/>
                  <wp:positionH relativeFrom="column">
                    <wp:posOffset>3810</wp:posOffset>
                  </wp:positionH>
                  <wp:positionV relativeFrom="paragraph">
                    <wp:posOffset>107950</wp:posOffset>
                  </wp:positionV>
                  <wp:extent cx="1080000" cy="1080000"/>
                  <wp:effectExtent l="0" t="0" r="6350" b="6350"/>
                  <wp:wrapSquare wrapText="bothSides"/>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4goal_I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tc>
        <w:tc>
          <w:tcPr>
            <w:tcW w:w="6567" w:type="dxa"/>
          </w:tcPr>
          <w:p w14:paraId="712CFBF9" w14:textId="77777777" w:rsidR="00802769" w:rsidRPr="00B7109E" w:rsidRDefault="00802769" w:rsidP="00081012">
            <w:pPr>
              <w:pStyle w:val="Titoloparagrafo"/>
              <w:numPr>
                <w:ilvl w:val="0"/>
                <w:numId w:val="15"/>
              </w:numPr>
              <w:spacing w:before="0" w:after="0" w:line="240" w:lineRule="auto"/>
              <w:ind w:left="369" w:hanging="357"/>
              <w:jc w:val="both"/>
              <w:rPr>
                <w:rFonts w:ascii="Arial" w:eastAsia="Helvetica LT Std Cond" w:hAnsi="Arial" w:cs="Arial"/>
                <w:color w:val="000000" w:themeColor="text1"/>
                <w:w w:val="100"/>
                <w:sz w:val="20"/>
                <w:szCs w:val="20"/>
              </w:rPr>
            </w:pPr>
            <w:r w:rsidRPr="00B7109E">
              <w:rPr>
                <w:rFonts w:ascii="Arial" w:eastAsia="Helvetica LT Std Cond" w:hAnsi="Arial" w:cs="Arial"/>
                <w:color w:val="000000" w:themeColor="text1"/>
                <w:w w:val="100"/>
                <w:sz w:val="20"/>
                <w:szCs w:val="20"/>
              </w:rPr>
              <w:t xml:space="preserve">Nel 2020/2021, Italia ancora lontana dai </w:t>
            </w:r>
            <w:r w:rsidRPr="00BF6E62">
              <w:rPr>
                <w:rFonts w:ascii="Arial" w:eastAsia="Helvetica LT Std Cond" w:hAnsi="Arial" w:cs="Arial"/>
                <w:color w:val="000000" w:themeColor="text1"/>
                <w:w w:val="100"/>
                <w:sz w:val="20"/>
                <w:szCs w:val="20"/>
              </w:rPr>
              <w:t>target</w:t>
            </w:r>
            <w:r w:rsidRPr="00B7109E">
              <w:rPr>
                <w:rFonts w:ascii="Arial" w:eastAsia="Helvetica LT Std Cond" w:hAnsi="Arial" w:cs="Arial"/>
                <w:color w:val="000000" w:themeColor="text1"/>
                <w:w w:val="100"/>
                <w:sz w:val="20"/>
                <w:szCs w:val="20"/>
              </w:rPr>
              <w:t xml:space="preserve"> europei per i servizi per la prima infanzia: 27,2% i posti disponibili rispetto ai bambini di 0-2 anni di età. </w:t>
            </w:r>
          </w:p>
          <w:p w14:paraId="65CB7ADD" w14:textId="77777777" w:rsidR="00802769" w:rsidRPr="00B7109E" w:rsidRDefault="00802769" w:rsidP="00081012">
            <w:pPr>
              <w:pStyle w:val="Titoloparagrafo"/>
              <w:numPr>
                <w:ilvl w:val="0"/>
                <w:numId w:val="15"/>
              </w:numPr>
              <w:spacing w:before="0" w:after="0" w:line="240" w:lineRule="auto"/>
              <w:ind w:left="369" w:hanging="357"/>
              <w:jc w:val="both"/>
              <w:rPr>
                <w:rFonts w:ascii="Arial" w:eastAsia="Helvetica LT Std Cond" w:hAnsi="Arial" w:cs="Arial"/>
                <w:color w:val="000000" w:themeColor="text1"/>
                <w:w w:val="100"/>
                <w:sz w:val="20"/>
                <w:szCs w:val="20"/>
              </w:rPr>
            </w:pPr>
            <w:r w:rsidRPr="00B7109E">
              <w:rPr>
                <w:rFonts w:ascii="Arial" w:eastAsia="Helvetica LT Std Cond" w:hAnsi="Arial" w:cs="Arial"/>
                <w:color w:val="000000" w:themeColor="text1"/>
                <w:w w:val="100"/>
                <w:sz w:val="20"/>
                <w:szCs w:val="20"/>
              </w:rPr>
              <w:t>Cala la quota di bambini di 5 anni iscritti alle scuole dell’infanzia o al primo anno della scuola primaria.</w:t>
            </w:r>
          </w:p>
          <w:p w14:paraId="4A35506B" w14:textId="77777777" w:rsidR="00802769" w:rsidRPr="00B7109E" w:rsidRDefault="00802769" w:rsidP="00081012">
            <w:pPr>
              <w:pStyle w:val="Titoloparagrafo"/>
              <w:numPr>
                <w:ilvl w:val="0"/>
                <w:numId w:val="15"/>
              </w:numPr>
              <w:spacing w:before="0" w:after="0" w:line="240" w:lineRule="auto"/>
              <w:ind w:left="369" w:hanging="357"/>
              <w:jc w:val="both"/>
              <w:rPr>
                <w:rFonts w:ascii="Arial" w:eastAsia="Helvetica LT Std Cond" w:hAnsi="Arial" w:cs="Arial"/>
                <w:color w:val="000000" w:themeColor="text1"/>
                <w:w w:val="100"/>
                <w:sz w:val="20"/>
                <w:szCs w:val="20"/>
              </w:rPr>
            </w:pPr>
            <w:r w:rsidRPr="00B7109E">
              <w:rPr>
                <w:rFonts w:ascii="Arial" w:eastAsia="Helvetica LT Std Cond" w:hAnsi="Arial" w:cs="Arial"/>
                <w:color w:val="000000" w:themeColor="text1"/>
                <w:w w:val="100"/>
                <w:sz w:val="20"/>
                <w:szCs w:val="20"/>
              </w:rPr>
              <w:t>Nel 2022, l’11,5% dei ragazzi tra 18 e 24 anni sono usciti - senza diploma – dal sistema di istruzione e formazione.</w:t>
            </w:r>
          </w:p>
          <w:p w14:paraId="7A5AF46E" w14:textId="77777777" w:rsidR="00802769" w:rsidRPr="00B7109E" w:rsidRDefault="00802769" w:rsidP="00081012">
            <w:pPr>
              <w:pStyle w:val="Titoloparagrafo"/>
              <w:numPr>
                <w:ilvl w:val="0"/>
                <w:numId w:val="15"/>
              </w:numPr>
              <w:spacing w:before="0" w:after="0" w:line="240" w:lineRule="auto"/>
              <w:ind w:left="369" w:hanging="357"/>
              <w:jc w:val="both"/>
              <w:rPr>
                <w:rFonts w:ascii="Arial" w:eastAsia="Helvetica LT Std Cond" w:hAnsi="Arial" w:cs="Arial"/>
                <w:color w:val="000000" w:themeColor="text1"/>
                <w:w w:val="100"/>
                <w:sz w:val="20"/>
                <w:szCs w:val="20"/>
              </w:rPr>
            </w:pPr>
            <w:r w:rsidRPr="00B7109E">
              <w:rPr>
                <w:rFonts w:ascii="Arial" w:eastAsia="Helvetica LT Std Cond" w:hAnsi="Arial" w:cs="Arial"/>
                <w:color w:val="000000" w:themeColor="text1"/>
                <w:w w:val="100"/>
                <w:sz w:val="20"/>
                <w:szCs w:val="20"/>
              </w:rPr>
              <w:t>Nel 2022, l’Italia è lontana dall’Europa anche per il numero di giovani con un titolo di studio terziario (29,2% tra i 25-34enni).</w:t>
            </w:r>
          </w:p>
          <w:p w14:paraId="63FACBC0" w14:textId="77777777" w:rsidR="00802769" w:rsidRPr="00B7109E" w:rsidRDefault="00802769" w:rsidP="00081012">
            <w:pPr>
              <w:pStyle w:val="Titoloparagrafo"/>
              <w:numPr>
                <w:ilvl w:val="0"/>
                <w:numId w:val="15"/>
              </w:numPr>
              <w:adjustRightInd w:val="0"/>
              <w:spacing w:before="0" w:after="0" w:line="240" w:lineRule="auto"/>
              <w:ind w:left="369" w:hanging="357"/>
              <w:jc w:val="both"/>
              <w:rPr>
                <w:rFonts w:ascii="Arial" w:hAnsi="Arial" w:cs="Arial"/>
                <w:color w:val="000000" w:themeColor="text1"/>
                <w:sz w:val="20"/>
                <w:szCs w:val="20"/>
              </w:rPr>
            </w:pPr>
            <w:r w:rsidRPr="00B7109E">
              <w:rPr>
                <w:rFonts w:ascii="Arial" w:eastAsia="Helvetica LT Std Cond" w:hAnsi="Arial" w:cs="Arial"/>
                <w:color w:val="000000" w:themeColor="text1"/>
                <w:w w:val="100"/>
                <w:sz w:val="20"/>
                <w:szCs w:val="20"/>
              </w:rPr>
              <w:t xml:space="preserve">Nel 2022, stabile la partecipazione alla formazione continua (9,6%), ma su livelli più elevati del periodo </w:t>
            </w:r>
            <w:proofErr w:type="spellStart"/>
            <w:r w:rsidRPr="00B7109E">
              <w:rPr>
                <w:rFonts w:ascii="Arial" w:eastAsia="Helvetica LT Std Cond" w:hAnsi="Arial" w:cs="Arial"/>
                <w:color w:val="000000" w:themeColor="text1"/>
                <w:w w:val="100"/>
                <w:sz w:val="20"/>
                <w:szCs w:val="20"/>
              </w:rPr>
              <w:t>pre</w:t>
            </w:r>
            <w:proofErr w:type="spellEnd"/>
            <w:r w:rsidRPr="00B7109E">
              <w:rPr>
                <w:rFonts w:ascii="Arial" w:eastAsia="Helvetica LT Std Cond" w:hAnsi="Arial" w:cs="Arial"/>
                <w:color w:val="000000" w:themeColor="text1"/>
                <w:w w:val="100"/>
                <w:sz w:val="20"/>
                <w:szCs w:val="20"/>
              </w:rPr>
              <w:t xml:space="preserve">-pandemico. </w:t>
            </w:r>
          </w:p>
          <w:p w14:paraId="30D14E62" w14:textId="18D2A46E" w:rsidR="00DA027B" w:rsidRPr="00B7109E" w:rsidRDefault="00802769" w:rsidP="00081012">
            <w:pPr>
              <w:pStyle w:val="Titoloparagrafo"/>
              <w:numPr>
                <w:ilvl w:val="0"/>
                <w:numId w:val="15"/>
              </w:numPr>
              <w:adjustRightInd w:val="0"/>
              <w:spacing w:before="0" w:after="0" w:line="240" w:lineRule="auto"/>
              <w:ind w:left="369" w:hanging="357"/>
              <w:jc w:val="both"/>
              <w:rPr>
                <w:rFonts w:ascii="Arial" w:hAnsi="Arial" w:cs="Arial"/>
                <w:color w:val="000000" w:themeColor="text1"/>
                <w:sz w:val="20"/>
                <w:szCs w:val="20"/>
              </w:rPr>
            </w:pPr>
            <w:r w:rsidRPr="00B7109E">
              <w:rPr>
                <w:rFonts w:ascii="Arial" w:eastAsia="Helvetica LT Std Cond" w:hAnsi="Arial" w:cs="Arial"/>
                <w:color w:val="000000" w:themeColor="text1"/>
                <w:w w:val="100"/>
                <w:sz w:val="20"/>
                <w:szCs w:val="20"/>
              </w:rPr>
              <w:t>Poco meno della metà delle persone di 16-74 ha competenze digitali almeno di base nel 2021.</w:t>
            </w:r>
          </w:p>
        </w:tc>
      </w:tr>
      <w:tr w:rsidR="00DA027B" w:rsidRPr="00A03E49" w14:paraId="36CAC05E" w14:textId="77777777" w:rsidTr="00582270">
        <w:tc>
          <w:tcPr>
            <w:tcW w:w="1926" w:type="dxa"/>
          </w:tcPr>
          <w:p w14:paraId="1594D86B" w14:textId="77777777" w:rsidR="00DA027B" w:rsidRPr="00D40F1D" w:rsidRDefault="00DA027B" w:rsidP="00582270">
            <w:pPr>
              <w:pStyle w:val="Titoloparagrafo"/>
              <w:spacing w:before="0" w:after="0"/>
              <w:rPr>
                <w:rFonts w:ascii="Helvetica LT Std Cond" w:hAnsi="Helvetica LT Std Cond"/>
                <w:noProof/>
              </w:rPr>
            </w:pPr>
            <w:r w:rsidRPr="00D40F1D">
              <w:rPr>
                <w:rFonts w:ascii="Helvetica LT Std Cond" w:hAnsi="Helvetica LT Std Cond"/>
                <w:noProof/>
                <w:lang w:eastAsia="it-IT"/>
              </w:rPr>
              <w:drawing>
                <wp:anchor distT="0" distB="0" distL="114300" distR="114300" simplePos="0" relativeHeight="251663360" behindDoc="0" locked="0" layoutInCell="1" allowOverlap="1" wp14:anchorId="316322F9" wp14:editId="4341832C">
                  <wp:simplePos x="0" y="0"/>
                  <wp:positionH relativeFrom="column">
                    <wp:posOffset>-1905</wp:posOffset>
                  </wp:positionH>
                  <wp:positionV relativeFrom="paragraph">
                    <wp:posOffset>88900</wp:posOffset>
                  </wp:positionV>
                  <wp:extent cx="1080000" cy="1080000"/>
                  <wp:effectExtent l="0" t="0" r="6350" b="6350"/>
                  <wp:wrapSquare wrapText="bothSides"/>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5goal_I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tc>
        <w:tc>
          <w:tcPr>
            <w:tcW w:w="6567" w:type="dxa"/>
          </w:tcPr>
          <w:p w14:paraId="7C217E41" w14:textId="77777777" w:rsidR="001F2CDC" w:rsidRPr="00B7109E" w:rsidRDefault="001F2CDC" w:rsidP="00081012">
            <w:pPr>
              <w:pStyle w:val="Corpotesto"/>
              <w:widowControl/>
              <w:numPr>
                <w:ilvl w:val="0"/>
                <w:numId w:val="16"/>
              </w:numPr>
              <w:spacing w:line="240" w:lineRule="auto"/>
              <w:rPr>
                <w:rStyle w:val="Enfasigrassetto"/>
                <w:rFonts w:ascii="Arial" w:hAnsi="Arial" w:cs="Arial"/>
                <w:b w:val="0"/>
                <w:color w:val="000000" w:themeColor="text1"/>
                <w:sz w:val="20"/>
                <w:szCs w:val="20"/>
                <w:lang w:val="it-IT"/>
              </w:rPr>
            </w:pPr>
            <w:r w:rsidRPr="00B7109E">
              <w:rPr>
                <w:rStyle w:val="Enfasigrassetto"/>
                <w:rFonts w:ascii="Arial" w:hAnsi="Arial" w:cs="Arial"/>
                <w:b w:val="0"/>
                <w:color w:val="000000" w:themeColor="text1"/>
                <w:sz w:val="20"/>
                <w:szCs w:val="20"/>
                <w:lang w:val="it-IT"/>
              </w:rPr>
              <w:t xml:space="preserve">Dopo il picco della fase pandemica, nel 2022 si riduce il numero di chiamate al numero di pubblica utilità 1522 contro la violenza e lo </w:t>
            </w:r>
            <w:proofErr w:type="spellStart"/>
            <w:r w:rsidRPr="00B7109E">
              <w:rPr>
                <w:rStyle w:val="Enfasigrassetto"/>
                <w:rFonts w:ascii="Arial" w:hAnsi="Arial" w:cs="Arial"/>
                <w:b w:val="0"/>
                <w:i/>
                <w:color w:val="000000" w:themeColor="text1"/>
                <w:sz w:val="20"/>
                <w:szCs w:val="20"/>
                <w:lang w:val="it-IT"/>
              </w:rPr>
              <w:t>stalking</w:t>
            </w:r>
            <w:proofErr w:type="spellEnd"/>
            <w:r w:rsidRPr="00B7109E">
              <w:rPr>
                <w:rStyle w:val="Enfasigrassetto"/>
                <w:rFonts w:ascii="Arial" w:hAnsi="Arial" w:cs="Arial"/>
                <w:b w:val="0"/>
                <w:color w:val="000000" w:themeColor="text1"/>
                <w:sz w:val="20"/>
                <w:szCs w:val="20"/>
                <w:lang w:val="it-IT"/>
              </w:rPr>
              <w:t xml:space="preserve">. </w:t>
            </w:r>
          </w:p>
          <w:p w14:paraId="2BF57774" w14:textId="3D05FCAC" w:rsidR="001F2CDC" w:rsidRPr="00B7109E" w:rsidRDefault="001F2CDC" w:rsidP="00081012">
            <w:pPr>
              <w:pStyle w:val="Titoloparagrafo"/>
              <w:numPr>
                <w:ilvl w:val="0"/>
                <w:numId w:val="16"/>
              </w:numPr>
              <w:spacing w:before="0" w:after="0" w:line="240" w:lineRule="auto"/>
              <w:jc w:val="both"/>
              <w:outlineLvl w:val="0"/>
              <w:rPr>
                <w:rStyle w:val="Enfasigrassetto"/>
                <w:rFonts w:ascii="Arial" w:eastAsia="Helvetica LT Std Cond" w:hAnsi="Arial" w:cs="Arial"/>
                <w:b w:val="0"/>
                <w:color w:val="000000" w:themeColor="text1"/>
                <w:w w:val="100"/>
                <w:sz w:val="20"/>
                <w:szCs w:val="20"/>
              </w:rPr>
            </w:pPr>
            <w:r w:rsidRPr="00B7109E">
              <w:rPr>
                <w:rStyle w:val="Enfasigrassetto"/>
                <w:rFonts w:ascii="Arial" w:eastAsia="Helvetica LT Std Cond" w:hAnsi="Arial" w:cs="Arial"/>
                <w:b w:val="0"/>
                <w:color w:val="000000" w:themeColor="text1"/>
                <w:w w:val="100"/>
                <w:sz w:val="20"/>
                <w:szCs w:val="20"/>
              </w:rPr>
              <w:t>In aumento nel 2021 i centri antiviolenza e le case rifugio, con un tasso di 2,39 servizi in totale ogni 100.000 donne di</w:t>
            </w:r>
            <w:r w:rsidR="00995251">
              <w:rPr>
                <w:rStyle w:val="Enfasigrassetto"/>
                <w:rFonts w:ascii="Arial" w:eastAsia="Helvetica LT Std Cond" w:hAnsi="Arial" w:cs="Arial"/>
                <w:b w:val="0"/>
                <w:color w:val="000000" w:themeColor="text1"/>
                <w:w w:val="100"/>
                <w:sz w:val="20"/>
                <w:szCs w:val="20"/>
              </w:rPr>
              <w:t xml:space="preserve"> </w:t>
            </w:r>
            <w:r w:rsidRPr="00B7109E">
              <w:rPr>
                <w:rStyle w:val="Enfasigrassetto"/>
                <w:rFonts w:ascii="Arial" w:eastAsia="Helvetica LT Std Cond" w:hAnsi="Arial" w:cs="Arial"/>
                <w:b w:val="0"/>
                <w:color w:val="000000" w:themeColor="text1"/>
                <w:w w:val="100"/>
                <w:sz w:val="20"/>
                <w:szCs w:val="20"/>
              </w:rPr>
              <w:t>14 anni e più.</w:t>
            </w:r>
          </w:p>
          <w:p w14:paraId="02F47017" w14:textId="77777777" w:rsidR="001F2CDC" w:rsidRPr="00B7109E" w:rsidRDefault="001F2CDC" w:rsidP="00081012">
            <w:pPr>
              <w:pStyle w:val="Corpotesto"/>
              <w:widowControl/>
              <w:numPr>
                <w:ilvl w:val="0"/>
                <w:numId w:val="16"/>
              </w:numPr>
              <w:spacing w:line="240" w:lineRule="auto"/>
              <w:rPr>
                <w:rStyle w:val="Enfasigrassetto"/>
                <w:rFonts w:ascii="Arial" w:hAnsi="Arial" w:cs="Arial"/>
                <w:b w:val="0"/>
                <w:color w:val="000000" w:themeColor="text1"/>
                <w:sz w:val="20"/>
                <w:szCs w:val="20"/>
                <w:lang w:val="it-IT"/>
              </w:rPr>
            </w:pPr>
            <w:r w:rsidRPr="00B7109E">
              <w:rPr>
                <w:rStyle w:val="Enfasigrassetto"/>
                <w:rFonts w:ascii="Arial" w:hAnsi="Arial" w:cs="Arial"/>
                <w:b w:val="0"/>
                <w:color w:val="000000" w:themeColor="text1"/>
                <w:sz w:val="20"/>
                <w:szCs w:val="20"/>
                <w:lang w:val="it-IT"/>
              </w:rPr>
              <w:t xml:space="preserve">Nel 2022, le donne uccise sono state 119 (3 in più rispetto al 2021). L’84% degli omicidi avviene tra le mura domestiche.  </w:t>
            </w:r>
          </w:p>
          <w:p w14:paraId="767CD8C0" w14:textId="77777777" w:rsidR="001F2CDC" w:rsidRPr="00B7109E" w:rsidRDefault="001F2CDC" w:rsidP="00081012">
            <w:pPr>
              <w:pStyle w:val="Paragrafoelenco"/>
              <w:widowControl/>
              <w:numPr>
                <w:ilvl w:val="0"/>
                <w:numId w:val="16"/>
              </w:numPr>
              <w:autoSpaceDE/>
              <w:autoSpaceDN/>
              <w:spacing w:after="160"/>
              <w:ind w:hanging="340"/>
              <w:jc w:val="both"/>
              <w:rPr>
                <w:rStyle w:val="Enfasigrassetto"/>
                <w:rFonts w:ascii="Arial" w:hAnsi="Arial" w:cs="Arial"/>
                <w:b w:val="0"/>
                <w:color w:val="000000" w:themeColor="text1"/>
                <w:sz w:val="20"/>
                <w:szCs w:val="20"/>
                <w:lang w:val="it-IT"/>
              </w:rPr>
            </w:pPr>
            <w:r w:rsidRPr="00B7109E">
              <w:rPr>
                <w:rStyle w:val="Enfasigrassetto"/>
                <w:rFonts w:ascii="Arial" w:hAnsi="Arial" w:cs="Arial"/>
                <w:b w:val="0"/>
                <w:color w:val="000000" w:themeColor="text1"/>
                <w:sz w:val="20"/>
                <w:szCs w:val="20"/>
                <w:lang w:val="it-IT"/>
              </w:rPr>
              <w:t>La rappresentanza femminile si riduce nel Parlamento nazionale scendendo al 33,7% nel 2022 (-1,7 punti percentuali), ma cresce nelle amministrazioni regionali (+1,2 punti percentuali nei Consigli regionali rinnovati nel 2023).</w:t>
            </w:r>
          </w:p>
          <w:p w14:paraId="0A3F3B18" w14:textId="41E1181E" w:rsidR="00DA027B" w:rsidRPr="00B7109E" w:rsidRDefault="001F2CDC" w:rsidP="00081012">
            <w:pPr>
              <w:pStyle w:val="Paragrafoelenco"/>
              <w:widowControl/>
              <w:numPr>
                <w:ilvl w:val="0"/>
                <w:numId w:val="16"/>
              </w:numPr>
              <w:autoSpaceDE/>
              <w:autoSpaceDN/>
              <w:spacing w:after="160"/>
              <w:ind w:hanging="340"/>
              <w:jc w:val="both"/>
              <w:rPr>
                <w:rFonts w:ascii="Arial" w:hAnsi="Arial" w:cs="Arial"/>
                <w:color w:val="000000" w:themeColor="text1"/>
                <w:sz w:val="20"/>
                <w:szCs w:val="20"/>
                <w:lang w:val="it-IT"/>
              </w:rPr>
            </w:pPr>
            <w:r w:rsidRPr="00B7109E">
              <w:rPr>
                <w:rStyle w:val="Enfasigrassetto"/>
                <w:rFonts w:ascii="Arial" w:hAnsi="Arial" w:cs="Arial"/>
                <w:b w:val="0"/>
                <w:color w:val="000000" w:themeColor="text1"/>
                <w:sz w:val="20"/>
                <w:szCs w:val="20"/>
                <w:lang w:val="it-IT"/>
              </w:rPr>
              <w:t>In crescita anche la quota di donne nei consigli di amministrazione delle società quotate in borsa (42,9%; +1,7 punti percentuali) e negli organi decisionali (21%; +1,9 punti percentuali).</w:t>
            </w:r>
          </w:p>
        </w:tc>
      </w:tr>
      <w:tr w:rsidR="00DA027B" w:rsidRPr="00A03E49" w14:paraId="50299191" w14:textId="77777777" w:rsidTr="00582270">
        <w:tc>
          <w:tcPr>
            <w:tcW w:w="1926" w:type="dxa"/>
          </w:tcPr>
          <w:p w14:paraId="1B4295EA" w14:textId="77777777" w:rsidR="00DA027B" w:rsidRPr="00D40F1D" w:rsidRDefault="00DA027B" w:rsidP="00582270">
            <w:pPr>
              <w:pStyle w:val="Titoloparagrafo"/>
              <w:spacing w:before="0" w:after="0"/>
            </w:pPr>
            <w:r w:rsidRPr="00D40F1D">
              <w:rPr>
                <w:rFonts w:ascii="Helvetica LT Std Cond" w:hAnsi="Helvetica LT Std Cond"/>
                <w:noProof/>
                <w:sz w:val="24"/>
                <w:szCs w:val="24"/>
                <w:lang w:eastAsia="it-IT"/>
              </w:rPr>
              <w:drawing>
                <wp:anchor distT="0" distB="0" distL="114300" distR="114300" simplePos="0" relativeHeight="251664384" behindDoc="0" locked="0" layoutInCell="1" allowOverlap="1" wp14:anchorId="43520B39" wp14:editId="3D855430">
                  <wp:simplePos x="0" y="0"/>
                  <wp:positionH relativeFrom="margin">
                    <wp:posOffset>-4445</wp:posOffset>
                  </wp:positionH>
                  <wp:positionV relativeFrom="paragraph">
                    <wp:posOffset>95885</wp:posOffset>
                  </wp:positionV>
                  <wp:extent cx="1079500" cy="1079500"/>
                  <wp:effectExtent l="0" t="0" r="6350" b="6350"/>
                  <wp:wrapSquare wrapText="bothSides"/>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6goal_I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page">
                    <wp14:pctWidth>0</wp14:pctWidth>
                  </wp14:sizeRelH>
                  <wp14:sizeRelV relativeFrom="page">
                    <wp14:pctHeight>0</wp14:pctHeight>
                  </wp14:sizeRelV>
                </wp:anchor>
              </w:drawing>
            </w:r>
          </w:p>
        </w:tc>
        <w:tc>
          <w:tcPr>
            <w:tcW w:w="6567" w:type="dxa"/>
          </w:tcPr>
          <w:p w14:paraId="3C987EB4" w14:textId="77777777" w:rsidR="001F2CDC" w:rsidRPr="00B7109E" w:rsidRDefault="001F2CDC" w:rsidP="00081012">
            <w:pPr>
              <w:pStyle w:val="Paragrafoelenco"/>
              <w:widowControl/>
              <w:numPr>
                <w:ilvl w:val="0"/>
                <w:numId w:val="17"/>
              </w:numPr>
              <w:adjustRightInd w:val="0"/>
              <w:ind w:left="369"/>
              <w:jc w:val="both"/>
              <w:rPr>
                <w:rFonts w:ascii="Arial" w:hAnsi="Arial" w:cs="Arial"/>
                <w:color w:val="000000" w:themeColor="text1"/>
                <w:sz w:val="20"/>
                <w:szCs w:val="20"/>
                <w:lang w:val="it-IT"/>
              </w:rPr>
            </w:pPr>
            <w:r w:rsidRPr="00B7109E">
              <w:rPr>
                <w:rFonts w:ascii="Arial" w:hAnsi="Arial" w:cs="Arial"/>
                <w:color w:val="000000" w:themeColor="text1"/>
                <w:sz w:val="20"/>
                <w:szCs w:val="20"/>
                <w:lang w:val="it-IT"/>
              </w:rPr>
              <w:t>Nel 2015-2019, lo stress idrico più alto è nel distretto idrografico del Fiume Po, condizionato dal maggior prelievo per l’agricoltura rispetto agli altri distretti idrografici.</w:t>
            </w:r>
          </w:p>
          <w:p w14:paraId="414196D5" w14:textId="77777777" w:rsidR="001F2CDC" w:rsidRPr="00B7109E" w:rsidRDefault="001F2CDC" w:rsidP="00081012">
            <w:pPr>
              <w:pStyle w:val="Paragrafoelenco"/>
              <w:widowControl/>
              <w:numPr>
                <w:ilvl w:val="0"/>
                <w:numId w:val="17"/>
              </w:numPr>
              <w:adjustRightInd w:val="0"/>
              <w:ind w:left="369"/>
              <w:jc w:val="both"/>
              <w:rPr>
                <w:rFonts w:ascii="Arial" w:hAnsi="Arial" w:cs="Arial"/>
                <w:color w:val="000000" w:themeColor="text1"/>
                <w:sz w:val="20"/>
                <w:szCs w:val="20"/>
                <w:lang w:val="it-IT"/>
              </w:rPr>
            </w:pPr>
            <w:r w:rsidRPr="00B7109E">
              <w:rPr>
                <w:rFonts w:ascii="Arial" w:hAnsi="Arial" w:cs="Arial"/>
                <w:color w:val="000000" w:themeColor="text1"/>
                <w:sz w:val="20"/>
                <w:szCs w:val="20"/>
                <w:lang w:val="it-IT"/>
              </w:rPr>
              <w:t>Nel 2020, l’Italia si colloca al secondo posto tra i Paesi dell’Ue per il prelievo pro capite di acqua potabile (155 metri cubi annui).</w:t>
            </w:r>
          </w:p>
          <w:p w14:paraId="0C44423F" w14:textId="77777777" w:rsidR="001F2CDC" w:rsidRPr="00B7109E" w:rsidRDefault="001F2CDC" w:rsidP="00081012">
            <w:pPr>
              <w:pStyle w:val="Paragrafoelenco"/>
              <w:widowControl/>
              <w:numPr>
                <w:ilvl w:val="0"/>
                <w:numId w:val="17"/>
              </w:numPr>
              <w:adjustRightInd w:val="0"/>
              <w:ind w:left="369"/>
              <w:jc w:val="both"/>
              <w:rPr>
                <w:rFonts w:ascii="Arial" w:hAnsi="Arial" w:cs="Arial"/>
                <w:color w:val="000000" w:themeColor="text1"/>
                <w:sz w:val="20"/>
                <w:szCs w:val="20"/>
                <w:lang w:val="it-IT"/>
              </w:rPr>
            </w:pPr>
            <w:r w:rsidRPr="00B7109E">
              <w:rPr>
                <w:rFonts w:ascii="Arial" w:hAnsi="Arial" w:cs="Arial"/>
                <w:color w:val="000000" w:themeColor="text1"/>
                <w:sz w:val="20"/>
                <w:szCs w:val="20"/>
                <w:lang w:val="it-IT"/>
              </w:rPr>
              <w:t>Nel 2020, si confermano condizioni di criticità nelle reti di distribuzione dell’acqua potabile: l’efficienza, stabile rispetto al 2018, si attesta al 57,8%.</w:t>
            </w:r>
          </w:p>
          <w:p w14:paraId="31AE2EB3" w14:textId="77777777" w:rsidR="001F2CDC" w:rsidRPr="00B7109E" w:rsidRDefault="001F2CDC" w:rsidP="00081012">
            <w:pPr>
              <w:pStyle w:val="Paragrafoelenco"/>
              <w:widowControl/>
              <w:numPr>
                <w:ilvl w:val="0"/>
                <w:numId w:val="17"/>
              </w:numPr>
              <w:adjustRightInd w:val="0"/>
              <w:ind w:left="369"/>
              <w:jc w:val="both"/>
              <w:rPr>
                <w:rFonts w:ascii="Arial" w:hAnsi="Arial" w:cs="Arial"/>
                <w:color w:val="000000" w:themeColor="text1"/>
                <w:sz w:val="20"/>
                <w:szCs w:val="20"/>
                <w:lang w:val="it-IT"/>
              </w:rPr>
            </w:pPr>
            <w:r w:rsidRPr="00B7109E">
              <w:rPr>
                <w:rFonts w:ascii="Arial" w:hAnsi="Arial" w:cs="Arial"/>
                <w:color w:val="000000" w:themeColor="text1"/>
                <w:sz w:val="20"/>
                <w:szCs w:val="20"/>
                <w:lang w:val="it-IT"/>
              </w:rPr>
              <w:t xml:space="preserve">Nel 2021, il numero di comuni capoluogo di provincia e città metropolitana sottoposti a misure di razionamento dell’acqua cresce da 11 del 2020 a 15 (2 dei quali nel Centro-Nord). </w:t>
            </w:r>
          </w:p>
          <w:p w14:paraId="02424B45" w14:textId="77777777" w:rsidR="001F2CDC" w:rsidRPr="00B7109E" w:rsidRDefault="001F2CDC" w:rsidP="00081012">
            <w:pPr>
              <w:pStyle w:val="Paragrafoelenco"/>
              <w:widowControl/>
              <w:numPr>
                <w:ilvl w:val="0"/>
                <w:numId w:val="17"/>
              </w:numPr>
              <w:adjustRightInd w:val="0"/>
              <w:ind w:left="369"/>
              <w:jc w:val="both"/>
              <w:rPr>
                <w:rFonts w:ascii="Arial" w:hAnsi="Arial" w:cs="Arial"/>
                <w:color w:val="000000" w:themeColor="text1"/>
                <w:sz w:val="20"/>
                <w:szCs w:val="20"/>
                <w:lang w:val="it-IT"/>
              </w:rPr>
            </w:pPr>
            <w:r w:rsidRPr="00B7109E">
              <w:rPr>
                <w:rFonts w:ascii="Arial" w:hAnsi="Arial" w:cs="Arial"/>
                <w:color w:val="000000" w:themeColor="text1"/>
                <w:sz w:val="20"/>
                <w:szCs w:val="20"/>
                <w:lang w:val="it-IT"/>
              </w:rPr>
              <w:t>Nel 2020, circa 7 milioni di abitanti sono privi di servizio pubblico di fognatura comunale.</w:t>
            </w:r>
          </w:p>
          <w:p w14:paraId="647DFB96" w14:textId="76F84BD1" w:rsidR="00DA027B" w:rsidRPr="00B7109E" w:rsidRDefault="001F2CDC" w:rsidP="00081012">
            <w:pPr>
              <w:pStyle w:val="Paragrafoelenco"/>
              <w:widowControl/>
              <w:numPr>
                <w:ilvl w:val="0"/>
                <w:numId w:val="17"/>
              </w:numPr>
              <w:adjustRightInd w:val="0"/>
              <w:ind w:left="369"/>
              <w:jc w:val="both"/>
              <w:rPr>
                <w:rFonts w:ascii="Arial" w:hAnsi="Arial" w:cs="Arial"/>
                <w:color w:val="000000" w:themeColor="text1"/>
                <w:sz w:val="20"/>
                <w:szCs w:val="20"/>
                <w:lang w:val="it-IT"/>
              </w:rPr>
            </w:pPr>
            <w:r w:rsidRPr="00B7109E">
              <w:rPr>
                <w:rFonts w:ascii="Arial" w:hAnsi="Arial" w:cs="Arial"/>
                <w:color w:val="000000" w:themeColor="text1"/>
                <w:sz w:val="20"/>
                <w:szCs w:val="20"/>
                <w:lang w:val="it-IT"/>
              </w:rPr>
              <w:t>Nel 2022, circa una famiglia su tre non si fida di bere l’acqua del rubinetto e quasi una su dieci lamenta irregolarità nel servizio di distribuzione dell’acqua nell‘abitazione.</w:t>
            </w:r>
          </w:p>
        </w:tc>
      </w:tr>
      <w:tr w:rsidR="00DA027B" w:rsidRPr="00A03E49" w14:paraId="3E8F9234" w14:textId="77777777" w:rsidTr="00582270">
        <w:tc>
          <w:tcPr>
            <w:tcW w:w="1926" w:type="dxa"/>
          </w:tcPr>
          <w:p w14:paraId="65C24CFA" w14:textId="77777777" w:rsidR="00DA027B" w:rsidRPr="00D40F1D" w:rsidRDefault="00DA027B" w:rsidP="00582270">
            <w:pPr>
              <w:pStyle w:val="Titoloparagrafo"/>
              <w:spacing w:before="0" w:after="0"/>
              <w:rPr>
                <w:rFonts w:ascii="Helvetica LT Std Cond" w:hAnsi="Helvetica LT Std Cond"/>
                <w:noProof/>
                <w:sz w:val="24"/>
                <w:szCs w:val="24"/>
                <w:lang w:eastAsia="it-IT"/>
              </w:rPr>
            </w:pPr>
            <w:r w:rsidRPr="00D40F1D">
              <w:rPr>
                <w:rFonts w:ascii="Helvetica LT Std Cond" w:hAnsi="Helvetica LT Std Cond"/>
                <w:noProof/>
                <w:lang w:eastAsia="it-IT"/>
              </w:rPr>
              <w:lastRenderedPageBreak/>
              <w:drawing>
                <wp:anchor distT="0" distB="0" distL="114300" distR="114300" simplePos="0" relativeHeight="251665408" behindDoc="0" locked="0" layoutInCell="1" allowOverlap="1" wp14:anchorId="3EFB7E0B" wp14:editId="511F4636">
                  <wp:simplePos x="0" y="0"/>
                  <wp:positionH relativeFrom="column">
                    <wp:posOffset>-4445</wp:posOffset>
                  </wp:positionH>
                  <wp:positionV relativeFrom="paragraph">
                    <wp:posOffset>107950</wp:posOffset>
                  </wp:positionV>
                  <wp:extent cx="1080000" cy="1080000"/>
                  <wp:effectExtent l="0" t="0" r="6350" b="6350"/>
                  <wp:wrapSquare wrapText="bothSides"/>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7goal_I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tc>
        <w:tc>
          <w:tcPr>
            <w:tcW w:w="6567" w:type="dxa"/>
          </w:tcPr>
          <w:p w14:paraId="66F0C93A" w14:textId="77777777" w:rsidR="00DC3195" w:rsidRPr="00B7109E" w:rsidRDefault="00DC3195" w:rsidP="00081012">
            <w:pPr>
              <w:pStyle w:val="Paragrafoelenco"/>
              <w:widowControl/>
              <w:numPr>
                <w:ilvl w:val="0"/>
                <w:numId w:val="18"/>
              </w:numPr>
              <w:autoSpaceDE/>
              <w:autoSpaceDN/>
              <w:ind w:left="369"/>
              <w:jc w:val="both"/>
              <w:rPr>
                <w:rFonts w:ascii="Arial" w:hAnsi="Arial" w:cs="Arial"/>
                <w:color w:val="000000" w:themeColor="text1"/>
                <w:sz w:val="20"/>
                <w:szCs w:val="20"/>
                <w:lang w:val="it-IT"/>
              </w:rPr>
            </w:pPr>
            <w:r w:rsidRPr="00B7109E">
              <w:rPr>
                <w:rFonts w:ascii="Arial" w:hAnsi="Arial" w:cs="Arial"/>
                <w:color w:val="000000" w:themeColor="text1"/>
                <w:sz w:val="20"/>
                <w:szCs w:val="20"/>
                <w:lang w:val="it-IT"/>
              </w:rPr>
              <w:t>Dopo il crollo registrato nel 2020, consumi energetici in netto aumento nel 2021; l’Italia (+9,8%) cresce più della media Ue27 e delle principali economie europee.</w:t>
            </w:r>
          </w:p>
          <w:p w14:paraId="3E649D66" w14:textId="77777777" w:rsidR="00DC3195" w:rsidRPr="00B7109E" w:rsidRDefault="00DC3195" w:rsidP="00081012">
            <w:pPr>
              <w:pStyle w:val="Paragrafoelenco"/>
              <w:widowControl/>
              <w:numPr>
                <w:ilvl w:val="0"/>
                <w:numId w:val="18"/>
              </w:numPr>
              <w:autoSpaceDE/>
              <w:autoSpaceDN/>
              <w:ind w:left="369"/>
              <w:jc w:val="both"/>
              <w:rPr>
                <w:rFonts w:ascii="Arial" w:hAnsi="Arial" w:cs="Arial"/>
                <w:color w:val="000000" w:themeColor="text1"/>
                <w:sz w:val="20"/>
                <w:szCs w:val="20"/>
                <w:lang w:val="it-IT"/>
              </w:rPr>
            </w:pPr>
            <w:r w:rsidRPr="00B7109E">
              <w:rPr>
                <w:rFonts w:ascii="Arial" w:hAnsi="Arial" w:cs="Arial"/>
                <w:color w:val="000000" w:themeColor="text1"/>
                <w:sz w:val="20"/>
                <w:szCs w:val="20"/>
                <w:lang w:val="it-IT"/>
              </w:rPr>
              <w:t>Intensità energetica in crescita, nel 2021, per il secondo anno consecutivo (+1,4%). Malgrado l’andamento negativo dell’ultimo anno, l’Italia si conferma al quinto posto della graduatoria europea.</w:t>
            </w:r>
          </w:p>
          <w:p w14:paraId="34F7180A" w14:textId="77777777" w:rsidR="00DC3195" w:rsidRPr="00B7109E" w:rsidRDefault="00DC3195" w:rsidP="00081012">
            <w:pPr>
              <w:pStyle w:val="Paragrafoelenco"/>
              <w:widowControl/>
              <w:numPr>
                <w:ilvl w:val="0"/>
                <w:numId w:val="18"/>
              </w:numPr>
              <w:autoSpaceDE/>
              <w:autoSpaceDN/>
              <w:ind w:left="369"/>
              <w:jc w:val="both"/>
              <w:rPr>
                <w:rFonts w:ascii="Arial" w:hAnsi="Arial" w:cs="Arial"/>
                <w:color w:val="000000" w:themeColor="text1"/>
                <w:sz w:val="20"/>
                <w:szCs w:val="20"/>
                <w:lang w:val="it-IT"/>
              </w:rPr>
            </w:pPr>
            <w:r w:rsidRPr="00B7109E">
              <w:rPr>
                <w:rFonts w:ascii="Arial" w:hAnsi="Arial" w:cs="Arial"/>
                <w:color w:val="000000" w:themeColor="text1"/>
                <w:sz w:val="20"/>
                <w:szCs w:val="20"/>
                <w:lang w:val="it-IT"/>
              </w:rPr>
              <w:t xml:space="preserve">Nel 2021, il settore residenziale registra un rilevante incremento dei consumi finali pro capite (+5,0%), riportandosi sugli standard di dieci anni fa. </w:t>
            </w:r>
          </w:p>
          <w:p w14:paraId="0634B1E4" w14:textId="6E0B4534" w:rsidR="0010574A" w:rsidRPr="00B7109E" w:rsidRDefault="00DC3195" w:rsidP="00081012">
            <w:pPr>
              <w:pStyle w:val="Paragrafoelenco"/>
              <w:widowControl/>
              <w:numPr>
                <w:ilvl w:val="0"/>
                <w:numId w:val="18"/>
              </w:numPr>
              <w:autoSpaceDE/>
              <w:autoSpaceDN/>
              <w:ind w:left="369"/>
              <w:jc w:val="both"/>
              <w:rPr>
                <w:rFonts w:ascii="Arial" w:hAnsi="Arial" w:cs="Arial"/>
                <w:color w:val="000000" w:themeColor="text1"/>
                <w:sz w:val="20"/>
                <w:szCs w:val="20"/>
                <w:lang w:val="it-IT"/>
              </w:rPr>
            </w:pPr>
            <w:r w:rsidRPr="00B7109E">
              <w:rPr>
                <w:rFonts w:ascii="Arial" w:hAnsi="Arial" w:cs="Arial"/>
                <w:color w:val="000000" w:themeColor="text1"/>
                <w:sz w:val="20"/>
                <w:szCs w:val="20"/>
                <w:lang w:val="it-IT"/>
              </w:rPr>
              <w:t xml:space="preserve">Nel 2021, l’apporto complessivo da fonti rinnovabili al consumo finale lordo di energia (19,0%) è in flessione rispetto </w:t>
            </w:r>
            <w:r w:rsidRPr="00BF6E62">
              <w:rPr>
                <w:rFonts w:ascii="Arial" w:hAnsi="Arial" w:cs="Arial"/>
                <w:color w:val="000000" w:themeColor="text1"/>
                <w:sz w:val="20"/>
                <w:szCs w:val="20"/>
                <w:lang w:val="it-IT"/>
              </w:rPr>
              <w:t>al</w:t>
            </w:r>
            <w:r w:rsidR="00DD7A89" w:rsidRPr="00BF6E62">
              <w:rPr>
                <w:rFonts w:ascii="Arial" w:hAnsi="Arial" w:cs="Arial"/>
                <w:color w:val="000000" w:themeColor="text1"/>
                <w:sz w:val="20"/>
                <w:szCs w:val="20"/>
                <w:lang w:val="it-IT"/>
              </w:rPr>
              <w:t xml:space="preserve"> 2020</w:t>
            </w:r>
            <w:r w:rsidRPr="00B7109E">
              <w:rPr>
                <w:rFonts w:ascii="Arial" w:hAnsi="Arial" w:cs="Arial"/>
                <w:color w:val="000000" w:themeColor="text1"/>
                <w:sz w:val="20"/>
                <w:szCs w:val="20"/>
                <w:lang w:val="it-IT"/>
              </w:rPr>
              <w:t xml:space="preserve">. </w:t>
            </w:r>
          </w:p>
          <w:p w14:paraId="0349BACA" w14:textId="393E32DE" w:rsidR="00DA027B" w:rsidRPr="00B7109E" w:rsidRDefault="00DC3195" w:rsidP="00081012">
            <w:pPr>
              <w:pStyle w:val="Paragrafoelenco"/>
              <w:widowControl/>
              <w:numPr>
                <w:ilvl w:val="0"/>
                <w:numId w:val="18"/>
              </w:numPr>
              <w:autoSpaceDE/>
              <w:autoSpaceDN/>
              <w:ind w:left="369"/>
              <w:jc w:val="both"/>
              <w:rPr>
                <w:rFonts w:ascii="Arial" w:eastAsia="Times New Roman" w:hAnsi="Arial" w:cs="Arial"/>
                <w:color w:val="000000" w:themeColor="text1"/>
                <w:sz w:val="20"/>
                <w:szCs w:val="20"/>
                <w:lang w:val="it-IT" w:eastAsia="it-IT"/>
              </w:rPr>
            </w:pPr>
            <w:r w:rsidRPr="00B7109E">
              <w:rPr>
                <w:rFonts w:ascii="Arial" w:hAnsi="Arial" w:cs="Arial"/>
                <w:color w:val="000000" w:themeColor="text1"/>
                <w:sz w:val="20"/>
                <w:szCs w:val="20"/>
                <w:lang w:val="it-IT"/>
              </w:rPr>
              <w:t>Nel 2022 in lieve aumento, per la prima volta dal 2012, la percentuale di popolazione che incontra difficoltà a riscaldare adeguatamente l’abitazione (8,8%).</w:t>
            </w:r>
          </w:p>
        </w:tc>
      </w:tr>
      <w:tr w:rsidR="00DA027B" w:rsidRPr="00A03E49" w14:paraId="25E69EE7" w14:textId="77777777" w:rsidTr="00582270">
        <w:tc>
          <w:tcPr>
            <w:tcW w:w="1926" w:type="dxa"/>
          </w:tcPr>
          <w:p w14:paraId="24E89EED" w14:textId="77777777" w:rsidR="00DA027B" w:rsidRPr="00D40F1D" w:rsidRDefault="00DA027B" w:rsidP="00582270">
            <w:pPr>
              <w:pStyle w:val="Titoloparagrafo"/>
              <w:spacing w:before="0" w:after="0"/>
              <w:rPr>
                <w:rFonts w:ascii="Helvetica LT Std Cond" w:hAnsi="Helvetica LT Std Cond"/>
                <w:noProof/>
              </w:rPr>
            </w:pPr>
            <w:r w:rsidRPr="00D40F1D">
              <w:rPr>
                <w:rFonts w:ascii="Helvetica LT Std Cond" w:hAnsi="Helvetica LT Std Cond"/>
                <w:noProof/>
                <w:sz w:val="24"/>
                <w:szCs w:val="24"/>
                <w:lang w:eastAsia="it-IT"/>
              </w:rPr>
              <w:drawing>
                <wp:anchor distT="0" distB="0" distL="114300" distR="114300" simplePos="0" relativeHeight="251666432" behindDoc="0" locked="0" layoutInCell="1" allowOverlap="1" wp14:anchorId="37D553C5" wp14:editId="0DFB715B">
                  <wp:simplePos x="0" y="0"/>
                  <wp:positionH relativeFrom="column">
                    <wp:posOffset>3810</wp:posOffset>
                  </wp:positionH>
                  <wp:positionV relativeFrom="paragraph">
                    <wp:posOffset>107950</wp:posOffset>
                  </wp:positionV>
                  <wp:extent cx="1080000" cy="1080000"/>
                  <wp:effectExtent l="0" t="0" r="6350" b="6350"/>
                  <wp:wrapSquare wrapText="bothSides"/>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8goal_I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tc>
        <w:tc>
          <w:tcPr>
            <w:tcW w:w="6567" w:type="dxa"/>
          </w:tcPr>
          <w:p w14:paraId="1A5D753A" w14:textId="77777777" w:rsidR="0010574A" w:rsidRPr="00B7109E" w:rsidRDefault="0010574A" w:rsidP="00081012">
            <w:pPr>
              <w:pStyle w:val="Paragrafoelenco"/>
              <w:widowControl/>
              <w:numPr>
                <w:ilvl w:val="0"/>
                <w:numId w:val="19"/>
              </w:numPr>
              <w:autoSpaceDE/>
              <w:autoSpaceDN/>
              <w:ind w:left="369"/>
              <w:jc w:val="both"/>
              <w:outlineLvl w:val="0"/>
              <w:rPr>
                <w:rFonts w:ascii="Arial" w:hAnsi="Arial" w:cs="Arial"/>
                <w:color w:val="000000" w:themeColor="text1"/>
                <w:sz w:val="20"/>
                <w:szCs w:val="20"/>
                <w:lang w:val="it-IT"/>
              </w:rPr>
            </w:pPr>
            <w:r w:rsidRPr="00B7109E">
              <w:rPr>
                <w:rFonts w:ascii="Arial" w:hAnsi="Arial" w:cs="Arial"/>
                <w:color w:val="000000" w:themeColor="text1"/>
                <w:sz w:val="20"/>
                <w:szCs w:val="20"/>
                <w:lang w:val="it-IT"/>
              </w:rPr>
              <w:t>Nel 2022 rallenta la ripresa dell’attività economica: le variazioni annue del Pil in volume (+3,7%), pro capite (+4,0%) e per occupato (+1,9%) sono inferiori a quelle del 2021.</w:t>
            </w:r>
          </w:p>
          <w:p w14:paraId="0E66E4E1" w14:textId="77777777" w:rsidR="0010574A" w:rsidRPr="00B7109E" w:rsidRDefault="0010574A" w:rsidP="00081012">
            <w:pPr>
              <w:pStyle w:val="Paragrafoelenco"/>
              <w:widowControl/>
              <w:numPr>
                <w:ilvl w:val="0"/>
                <w:numId w:val="19"/>
              </w:numPr>
              <w:autoSpaceDE/>
              <w:autoSpaceDN/>
              <w:ind w:left="369"/>
              <w:jc w:val="both"/>
              <w:outlineLvl w:val="0"/>
              <w:rPr>
                <w:rFonts w:ascii="Arial" w:hAnsi="Arial" w:cs="Arial"/>
                <w:color w:val="000000" w:themeColor="text1"/>
                <w:sz w:val="20"/>
                <w:szCs w:val="20"/>
                <w:lang w:val="it-IT"/>
              </w:rPr>
            </w:pPr>
            <w:r w:rsidRPr="00B7109E">
              <w:rPr>
                <w:rFonts w:ascii="Arial" w:hAnsi="Arial" w:cs="Arial"/>
                <w:color w:val="000000" w:themeColor="text1"/>
                <w:sz w:val="20"/>
                <w:szCs w:val="20"/>
                <w:lang w:val="it-IT"/>
              </w:rPr>
              <w:t xml:space="preserve">Il 2022 segna un’importante ripresa del mercato del lavoro italiano. Il tasso di occupazione dei 20-64enni (64,8%) sale, recuperando pienamente i livelli </w:t>
            </w:r>
            <w:proofErr w:type="spellStart"/>
            <w:r w:rsidRPr="00B7109E">
              <w:rPr>
                <w:rFonts w:ascii="Arial" w:hAnsi="Arial" w:cs="Arial"/>
                <w:color w:val="000000" w:themeColor="text1"/>
                <w:sz w:val="20"/>
                <w:szCs w:val="20"/>
                <w:lang w:val="it-IT"/>
              </w:rPr>
              <w:t>pre</w:t>
            </w:r>
            <w:proofErr w:type="spellEnd"/>
            <w:r w:rsidRPr="00B7109E">
              <w:rPr>
                <w:rFonts w:ascii="Arial" w:hAnsi="Arial" w:cs="Arial"/>
                <w:color w:val="000000" w:themeColor="text1"/>
                <w:sz w:val="20"/>
                <w:szCs w:val="20"/>
                <w:lang w:val="it-IT"/>
              </w:rPr>
              <w:t xml:space="preserve">-pandemici, ma il divario con l’Europa rimane molto alto. </w:t>
            </w:r>
          </w:p>
          <w:p w14:paraId="1C6735B3" w14:textId="77777777" w:rsidR="0010574A" w:rsidRPr="00B7109E" w:rsidRDefault="0010574A" w:rsidP="00081012">
            <w:pPr>
              <w:pStyle w:val="Paragrafoelenco"/>
              <w:widowControl/>
              <w:numPr>
                <w:ilvl w:val="0"/>
                <w:numId w:val="19"/>
              </w:numPr>
              <w:autoSpaceDE/>
              <w:autoSpaceDN/>
              <w:ind w:left="369"/>
              <w:jc w:val="both"/>
              <w:outlineLvl w:val="0"/>
              <w:rPr>
                <w:rFonts w:ascii="Arial" w:hAnsi="Arial" w:cs="Arial"/>
                <w:color w:val="000000" w:themeColor="text1"/>
                <w:sz w:val="20"/>
                <w:szCs w:val="20"/>
              </w:rPr>
            </w:pPr>
            <w:r w:rsidRPr="00B7109E">
              <w:rPr>
                <w:rFonts w:ascii="Arial" w:hAnsi="Arial" w:cs="Arial"/>
                <w:color w:val="000000" w:themeColor="text1"/>
                <w:sz w:val="20"/>
                <w:szCs w:val="20"/>
                <w:lang w:val="it-IT"/>
              </w:rPr>
              <w:t xml:space="preserve">Il tasso di disoccupazione diminuisce di 1,4 punti percentuali, con progressi superiori per i giovani. </w:t>
            </w:r>
            <w:proofErr w:type="spellStart"/>
            <w:r w:rsidRPr="00B7109E">
              <w:rPr>
                <w:rFonts w:ascii="Arial" w:hAnsi="Arial" w:cs="Arial"/>
                <w:color w:val="000000" w:themeColor="text1"/>
                <w:sz w:val="20"/>
                <w:szCs w:val="20"/>
              </w:rPr>
              <w:t>Rimangono</w:t>
            </w:r>
            <w:proofErr w:type="spellEnd"/>
            <w:r w:rsidRPr="00B7109E">
              <w:rPr>
                <w:rFonts w:ascii="Arial" w:hAnsi="Arial" w:cs="Arial"/>
                <w:color w:val="000000" w:themeColor="text1"/>
                <w:sz w:val="20"/>
                <w:szCs w:val="20"/>
              </w:rPr>
              <w:t xml:space="preserve"> </w:t>
            </w:r>
            <w:proofErr w:type="spellStart"/>
            <w:r w:rsidRPr="00B7109E">
              <w:rPr>
                <w:rFonts w:ascii="Arial" w:hAnsi="Arial" w:cs="Arial"/>
                <w:color w:val="000000" w:themeColor="text1"/>
                <w:sz w:val="20"/>
                <w:szCs w:val="20"/>
              </w:rPr>
              <w:t>ampi</w:t>
            </w:r>
            <w:proofErr w:type="spellEnd"/>
            <w:r w:rsidRPr="00B7109E">
              <w:rPr>
                <w:rFonts w:ascii="Arial" w:hAnsi="Arial" w:cs="Arial"/>
                <w:color w:val="000000" w:themeColor="text1"/>
                <w:sz w:val="20"/>
                <w:szCs w:val="20"/>
              </w:rPr>
              <w:t xml:space="preserve"> </w:t>
            </w:r>
            <w:proofErr w:type="spellStart"/>
            <w:r w:rsidRPr="00B7109E">
              <w:rPr>
                <w:rFonts w:ascii="Arial" w:hAnsi="Arial" w:cs="Arial"/>
                <w:color w:val="000000" w:themeColor="text1"/>
                <w:sz w:val="20"/>
                <w:szCs w:val="20"/>
              </w:rPr>
              <w:t>i</w:t>
            </w:r>
            <w:proofErr w:type="spellEnd"/>
            <w:r w:rsidRPr="00B7109E">
              <w:rPr>
                <w:rFonts w:ascii="Arial" w:hAnsi="Arial" w:cs="Arial"/>
                <w:color w:val="000000" w:themeColor="text1"/>
                <w:sz w:val="20"/>
                <w:szCs w:val="20"/>
              </w:rPr>
              <w:t xml:space="preserve"> </w:t>
            </w:r>
            <w:proofErr w:type="spellStart"/>
            <w:r w:rsidRPr="00B7109E">
              <w:rPr>
                <w:rFonts w:ascii="Arial" w:hAnsi="Arial" w:cs="Arial"/>
                <w:color w:val="000000" w:themeColor="text1"/>
                <w:sz w:val="20"/>
                <w:szCs w:val="20"/>
              </w:rPr>
              <w:t>differenziali</w:t>
            </w:r>
            <w:proofErr w:type="spellEnd"/>
            <w:r w:rsidRPr="00B7109E">
              <w:rPr>
                <w:rFonts w:ascii="Arial" w:hAnsi="Arial" w:cs="Arial"/>
                <w:color w:val="000000" w:themeColor="text1"/>
                <w:sz w:val="20"/>
                <w:szCs w:val="20"/>
              </w:rPr>
              <w:t xml:space="preserve"> </w:t>
            </w:r>
            <w:proofErr w:type="spellStart"/>
            <w:r w:rsidRPr="00B7109E">
              <w:rPr>
                <w:rFonts w:ascii="Arial" w:hAnsi="Arial" w:cs="Arial"/>
                <w:color w:val="000000" w:themeColor="text1"/>
                <w:sz w:val="20"/>
                <w:szCs w:val="20"/>
              </w:rPr>
              <w:t>territoriali</w:t>
            </w:r>
            <w:proofErr w:type="spellEnd"/>
            <w:r w:rsidRPr="00B7109E">
              <w:rPr>
                <w:rFonts w:ascii="Arial" w:hAnsi="Arial" w:cs="Arial"/>
                <w:color w:val="000000" w:themeColor="text1"/>
                <w:sz w:val="20"/>
                <w:szCs w:val="20"/>
              </w:rPr>
              <w:t xml:space="preserve">, di </w:t>
            </w:r>
            <w:proofErr w:type="spellStart"/>
            <w:r w:rsidRPr="00B7109E">
              <w:rPr>
                <w:rFonts w:ascii="Arial" w:hAnsi="Arial" w:cs="Arial"/>
                <w:color w:val="000000" w:themeColor="text1"/>
                <w:sz w:val="20"/>
                <w:szCs w:val="20"/>
              </w:rPr>
              <w:t>genere</w:t>
            </w:r>
            <w:proofErr w:type="spellEnd"/>
            <w:r w:rsidRPr="00B7109E">
              <w:rPr>
                <w:rFonts w:ascii="Arial" w:hAnsi="Arial" w:cs="Arial"/>
                <w:color w:val="000000" w:themeColor="text1"/>
                <w:sz w:val="20"/>
                <w:szCs w:val="20"/>
              </w:rPr>
              <w:t xml:space="preserve"> e </w:t>
            </w:r>
            <w:proofErr w:type="spellStart"/>
            <w:r w:rsidRPr="00B7109E">
              <w:rPr>
                <w:rFonts w:ascii="Arial" w:hAnsi="Arial" w:cs="Arial"/>
                <w:color w:val="000000" w:themeColor="text1"/>
                <w:sz w:val="20"/>
                <w:szCs w:val="20"/>
              </w:rPr>
              <w:t>generazionali</w:t>
            </w:r>
            <w:proofErr w:type="spellEnd"/>
            <w:r w:rsidRPr="00B7109E">
              <w:rPr>
                <w:rFonts w:ascii="Arial" w:hAnsi="Arial" w:cs="Arial"/>
                <w:color w:val="000000" w:themeColor="text1"/>
                <w:sz w:val="20"/>
                <w:szCs w:val="20"/>
              </w:rPr>
              <w:t>.</w:t>
            </w:r>
          </w:p>
          <w:p w14:paraId="3E83E314" w14:textId="77777777" w:rsidR="0010574A" w:rsidRPr="00B7109E" w:rsidRDefault="0010574A" w:rsidP="00081012">
            <w:pPr>
              <w:pStyle w:val="Paragrafoelenco"/>
              <w:widowControl/>
              <w:numPr>
                <w:ilvl w:val="0"/>
                <w:numId w:val="19"/>
              </w:numPr>
              <w:autoSpaceDE/>
              <w:autoSpaceDN/>
              <w:ind w:left="369"/>
              <w:jc w:val="both"/>
              <w:outlineLvl w:val="0"/>
              <w:rPr>
                <w:rFonts w:ascii="Arial" w:hAnsi="Arial" w:cs="Arial"/>
                <w:color w:val="000000" w:themeColor="text1"/>
                <w:sz w:val="20"/>
                <w:szCs w:val="20"/>
                <w:lang w:val="it-IT"/>
              </w:rPr>
            </w:pPr>
            <w:r w:rsidRPr="00B7109E">
              <w:rPr>
                <w:rFonts w:ascii="Arial" w:hAnsi="Arial" w:cs="Arial"/>
                <w:color w:val="000000" w:themeColor="text1"/>
                <w:sz w:val="20"/>
                <w:szCs w:val="20"/>
                <w:lang w:val="it-IT"/>
              </w:rPr>
              <w:t xml:space="preserve">Dopo l’intenso sviluppo registrato nella fase emergenziale, i lavoratori da casa scendono al 12,2%; quasi un terzo dei laureati svolge attività da remoto. </w:t>
            </w:r>
          </w:p>
          <w:p w14:paraId="64AB41F1" w14:textId="4807B2EF" w:rsidR="0010574A" w:rsidRPr="00B7109E" w:rsidRDefault="0010574A" w:rsidP="00081012">
            <w:pPr>
              <w:pStyle w:val="Paragrafoelenco"/>
              <w:widowControl/>
              <w:numPr>
                <w:ilvl w:val="0"/>
                <w:numId w:val="19"/>
              </w:numPr>
              <w:autoSpaceDE/>
              <w:autoSpaceDN/>
              <w:ind w:left="369"/>
              <w:jc w:val="both"/>
              <w:outlineLvl w:val="0"/>
              <w:rPr>
                <w:rFonts w:ascii="Arial" w:hAnsi="Arial" w:cs="Arial"/>
                <w:color w:val="000000" w:themeColor="text1"/>
                <w:sz w:val="20"/>
                <w:szCs w:val="20"/>
                <w:lang w:val="it-IT"/>
              </w:rPr>
            </w:pPr>
            <w:r w:rsidRPr="00B7109E">
              <w:rPr>
                <w:rFonts w:ascii="Arial" w:hAnsi="Arial" w:cs="Arial"/>
                <w:color w:val="000000" w:themeColor="text1"/>
                <w:sz w:val="20"/>
                <w:szCs w:val="20"/>
                <w:lang w:val="it-IT"/>
              </w:rPr>
              <w:t xml:space="preserve">Nel 2020, </w:t>
            </w:r>
            <w:r w:rsidR="00BF6E62">
              <w:rPr>
                <w:rFonts w:ascii="Arial" w:hAnsi="Arial" w:cs="Arial"/>
                <w:color w:val="000000" w:themeColor="text1"/>
                <w:sz w:val="20"/>
                <w:szCs w:val="20"/>
                <w:lang w:val="it-IT"/>
              </w:rPr>
              <w:t>l</w:t>
            </w:r>
            <w:r w:rsidR="00BF6E62" w:rsidRPr="00B7109E">
              <w:rPr>
                <w:rFonts w:ascii="Arial" w:hAnsi="Arial" w:cs="Arial"/>
                <w:color w:val="000000" w:themeColor="text1"/>
                <w:sz w:val="20"/>
                <w:szCs w:val="20"/>
                <w:lang w:val="it-IT"/>
              </w:rPr>
              <w:t>ieve riduzione dell’occupazione irregolare</w:t>
            </w:r>
            <w:r w:rsidR="00BF6E62">
              <w:rPr>
                <w:rFonts w:ascii="Arial" w:hAnsi="Arial" w:cs="Arial"/>
                <w:color w:val="000000" w:themeColor="text1"/>
                <w:sz w:val="20"/>
                <w:szCs w:val="20"/>
                <w:lang w:val="it-IT"/>
              </w:rPr>
              <w:t xml:space="preserve">, </w:t>
            </w:r>
            <w:r w:rsidRPr="00B7109E">
              <w:rPr>
                <w:rFonts w:ascii="Arial" w:hAnsi="Arial" w:cs="Arial"/>
                <w:color w:val="000000" w:themeColor="text1"/>
                <w:sz w:val="20"/>
                <w:szCs w:val="20"/>
                <w:lang w:val="it-IT"/>
              </w:rPr>
              <w:t xml:space="preserve">ma oltre la metà del personale domestico e un lavoratore agricolo su quattro sono ancora occupati in maniera non regolare. </w:t>
            </w:r>
          </w:p>
          <w:p w14:paraId="3D73FE11" w14:textId="6AD6C699" w:rsidR="00DA027B" w:rsidRPr="00B7109E" w:rsidRDefault="0010574A" w:rsidP="00081012">
            <w:pPr>
              <w:pStyle w:val="Paragrafoelenco"/>
              <w:widowControl/>
              <w:numPr>
                <w:ilvl w:val="0"/>
                <w:numId w:val="19"/>
              </w:numPr>
              <w:autoSpaceDE/>
              <w:autoSpaceDN/>
              <w:ind w:left="369"/>
              <w:jc w:val="both"/>
              <w:outlineLvl w:val="0"/>
              <w:rPr>
                <w:rFonts w:ascii="Arial" w:eastAsia="Times New Roman" w:hAnsi="Arial" w:cs="Arial"/>
                <w:color w:val="000000" w:themeColor="text1"/>
                <w:sz w:val="20"/>
                <w:szCs w:val="20"/>
                <w:lang w:val="it-IT" w:eastAsia="it-IT"/>
              </w:rPr>
            </w:pPr>
            <w:r w:rsidRPr="00B7109E">
              <w:rPr>
                <w:rFonts w:ascii="Arial" w:hAnsi="Arial" w:cs="Arial"/>
                <w:color w:val="000000" w:themeColor="text1"/>
                <w:sz w:val="20"/>
                <w:szCs w:val="20"/>
                <w:lang w:val="it-IT"/>
              </w:rPr>
              <w:t>Nel 2021, stabile il tasso di infortuni e inabilità permanenti sul lavoro (10,2 per 10.000 occupati).</w:t>
            </w:r>
          </w:p>
        </w:tc>
      </w:tr>
      <w:tr w:rsidR="00DA027B" w:rsidRPr="006C648A" w14:paraId="0032E433" w14:textId="77777777" w:rsidTr="00582270">
        <w:tc>
          <w:tcPr>
            <w:tcW w:w="1926" w:type="dxa"/>
          </w:tcPr>
          <w:p w14:paraId="1B6ADDC2" w14:textId="77777777" w:rsidR="00DA027B" w:rsidRPr="00D40F1D" w:rsidRDefault="00DA027B" w:rsidP="00582270">
            <w:pPr>
              <w:pStyle w:val="Titoloparagrafo"/>
              <w:spacing w:before="0" w:after="0"/>
              <w:rPr>
                <w:rFonts w:ascii="Helvetica LT Std Cond" w:hAnsi="Helvetica LT Std Cond"/>
                <w:noProof/>
                <w:sz w:val="24"/>
                <w:szCs w:val="24"/>
                <w:lang w:eastAsia="it-IT"/>
              </w:rPr>
            </w:pPr>
            <w:r w:rsidRPr="00D40F1D">
              <w:rPr>
                <w:rFonts w:ascii="Helvetica LT Std Cond" w:hAnsi="Helvetica LT Std Cond"/>
                <w:noProof/>
                <w:sz w:val="24"/>
                <w:szCs w:val="24"/>
                <w:lang w:eastAsia="it-IT"/>
              </w:rPr>
              <w:drawing>
                <wp:anchor distT="0" distB="0" distL="114300" distR="114300" simplePos="0" relativeHeight="251667456" behindDoc="0" locked="0" layoutInCell="1" allowOverlap="1" wp14:anchorId="023859CC" wp14:editId="46D9A141">
                  <wp:simplePos x="0" y="0"/>
                  <wp:positionH relativeFrom="page">
                    <wp:posOffset>64770</wp:posOffset>
                  </wp:positionH>
                  <wp:positionV relativeFrom="paragraph">
                    <wp:posOffset>107950</wp:posOffset>
                  </wp:positionV>
                  <wp:extent cx="1080000" cy="1080000"/>
                  <wp:effectExtent l="0" t="0" r="6350" b="6350"/>
                  <wp:wrapSquare wrapText="bothSides"/>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9goal_I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tc>
        <w:tc>
          <w:tcPr>
            <w:tcW w:w="6567" w:type="dxa"/>
          </w:tcPr>
          <w:p w14:paraId="66CD7C9A" w14:textId="554ED044" w:rsidR="0010574A" w:rsidRPr="00B7109E" w:rsidRDefault="0010574A" w:rsidP="00081012">
            <w:pPr>
              <w:pStyle w:val="ATitoloparagrafo"/>
              <w:numPr>
                <w:ilvl w:val="0"/>
                <w:numId w:val="20"/>
              </w:numPr>
              <w:tabs>
                <w:tab w:val="clear" w:pos="720"/>
              </w:tabs>
              <w:spacing w:before="0" w:after="0"/>
              <w:ind w:left="369"/>
              <w:jc w:val="both"/>
              <w:rPr>
                <w:rFonts w:ascii="Arial" w:eastAsiaTheme="minorEastAsia" w:hAnsi="Arial" w:cs="Arial"/>
                <w:b w:val="0"/>
                <w:color w:val="000000" w:themeColor="text1"/>
                <w:sz w:val="20"/>
                <w:szCs w:val="20"/>
                <w:lang w:eastAsia="en-US"/>
              </w:rPr>
            </w:pPr>
            <w:r w:rsidRPr="00B7109E">
              <w:rPr>
                <w:rFonts w:ascii="Arial" w:eastAsiaTheme="minorEastAsia" w:hAnsi="Arial" w:cs="Arial"/>
                <w:b w:val="0"/>
                <w:color w:val="000000" w:themeColor="text1"/>
                <w:sz w:val="20"/>
                <w:szCs w:val="20"/>
              </w:rPr>
              <w:t>Nel 2021, il trasporto aereo e il trasporto ferroviario passeggeri hanno registrato aumenti del 52,4% e del 26,1% rispetto al 2020</w:t>
            </w:r>
            <w:r w:rsidR="009752BC">
              <w:rPr>
                <w:rFonts w:ascii="Arial" w:eastAsiaTheme="minorEastAsia" w:hAnsi="Arial" w:cs="Arial"/>
                <w:b w:val="0"/>
                <w:color w:val="000000" w:themeColor="text1"/>
                <w:sz w:val="20"/>
                <w:szCs w:val="20"/>
              </w:rPr>
              <w:t>.</w:t>
            </w:r>
          </w:p>
          <w:p w14:paraId="743212F5" w14:textId="6EC4D6D9" w:rsidR="0010574A" w:rsidRPr="0069103C" w:rsidRDefault="0069103C" w:rsidP="00081012">
            <w:pPr>
              <w:pStyle w:val="ATitoloparagrafo"/>
              <w:numPr>
                <w:ilvl w:val="0"/>
                <w:numId w:val="20"/>
              </w:numPr>
              <w:tabs>
                <w:tab w:val="clear" w:pos="720"/>
              </w:tabs>
              <w:spacing w:before="0" w:after="0"/>
              <w:ind w:left="369"/>
              <w:jc w:val="both"/>
              <w:rPr>
                <w:rFonts w:ascii="Arial" w:eastAsiaTheme="minorEastAsia" w:hAnsi="Arial" w:cs="Arial"/>
                <w:b w:val="0"/>
                <w:color w:val="000000" w:themeColor="text1"/>
                <w:sz w:val="20"/>
                <w:szCs w:val="20"/>
                <w:lang w:eastAsia="en-US"/>
              </w:rPr>
            </w:pPr>
            <w:r>
              <w:rPr>
                <w:rFonts w:ascii="Arial" w:eastAsiaTheme="minorEastAsia" w:hAnsi="Arial" w:cs="Arial"/>
                <w:b w:val="0"/>
                <w:color w:val="000000" w:themeColor="text1"/>
                <w:sz w:val="20"/>
                <w:szCs w:val="20"/>
              </w:rPr>
              <w:t>Nel 2021, l’intensità di</w:t>
            </w:r>
            <w:r w:rsidR="0010574A" w:rsidRPr="00B7109E">
              <w:rPr>
                <w:rFonts w:ascii="Arial" w:eastAsiaTheme="minorEastAsia" w:hAnsi="Arial" w:cs="Arial"/>
                <w:b w:val="0"/>
                <w:color w:val="000000" w:themeColor="text1"/>
                <w:sz w:val="20"/>
                <w:szCs w:val="20"/>
              </w:rPr>
              <w:t xml:space="preserve"> emissioni di CO</w:t>
            </w:r>
            <w:r w:rsidR="0010574A" w:rsidRPr="00B7109E">
              <w:rPr>
                <w:rFonts w:ascii="Arial" w:eastAsiaTheme="minorEastAsia" w:hAnsi="Arial" w:cs="Arial"/>
                <w:b w:val="0"/>
                <w:color w:val="000000" w:themeColor="text1"/>
                <w:sz w:val="20"/>
                <w:szCs w:val="20"/>
                <w:vertAlign w:val="subscript"/>
              </w:rPr>
              <w:t>2</w:t>
            </w:r>
            <w:r>
              <w:rPr>
                <w:rFonts w:ascii="Arial" w:eastAsiaTheme="minorEastAsia" w:hAnsi="Arial" w:cs="Arial"/>
                <w:b w:val="0"/>
                <w:color w:val="000000" w:themeColor="text1"/>
                <w:sz w:val="20"/>
                <w:szCs w:val="20"/>
                <w:vertAlign w:val="subscript"/>
              </w:rPr>
              <w:t xml:space="preserve"> </w:t>
            </w:r>
            <w:r>
              <w:rPr>
                <w:rFonts w:ascii="Arial" w:eastAsiaTheme="minorEastAsia" w:hAnsi="Arial" w:cs="Arial"/>
                <w:b w:val="0"/>
                <w:color w:val="000000" w:themeColor="text1"/>
                <w:sz w:val="20"/>
                <w:szCs w:val="20"/>
              </w:rPr>
              <w:t xml:space="preserve">sul valore aggiunto, </w:t>
            </w:r>
            <w:r w:rsidR="00C95951">
              <w:rPr>
                <w:rFonts w:ascii="Arial" w:eastAsiaTheme="minorEastAsia" w:hAnsi="Arial" w:cs="Arial"/>
                <w:b w:val="0"/>
                <w:color w:val="000000" w:themeColor="text1"/>
                <w:sz w:val="20"/>
                <w:szCs w:val="20"/>
              </w:rPr>
              <w:t>che nel 2020 era</w:t>
            </w:r>
            <w:r w:rsidR="0010574A" w:rsidRPr="00B7109E">
              <w:rPr>
                <w:rFonts w:ascii="Arial" w:eastAsiaTheme="minorEastAsia" w:hAnsi="Arial" w:cs="Arial"/>
                <w:b w:val="0"/>
                <w:color w:val="000000" w:themeColor="text1"/>
                <w:sz w:val="20"/>
                <w:szCs w:val="20"/>
              </w:rPr>
              <w:t xml:space="preserve"> 154,</w:t>
            </w:r>
            <w:r w:rsidR="0010574A" w:rsidRPr="0069103C">
              <w:rPr>
                <w:rFonts w:ascii="Arial" w:eastAsiaTheme="minorEastAsia" w:hAnsi="Arial" w:cs="Arial"/>
                <w:b w:val="0"/>
                <w:color w:val="000000" w:themeColor="text1"/>
                <w:sz w:val="20"/>
                <w:szCs w:val="20"/>
              </w:rPr>
              <w:t xml:space="preserve">1 tonnellate per milione di euro, si </w:t>
            </w:r>
            <w:r w:rsidR="00C95951">
              <w:rPr>
                <w:rFonts w:ascii="Arial" w:eastAsiaTheme="minorEastAsia" w:hAnsi="Arial" w:cs="Arial"/>
                <w:b w:val="0"/>
                <w:color w:val="000000" w:themeColor="text1"/>
                <w:sz w:val="20"/>
                <w:szCs w:val="20"/>
              </w:rPr>
              <w:t>è attestata</w:t>
            </w:r>
            <w:r w:rsidR="0010574A" w:rsidRPr="0069103C">
              <w:rPr>
                <w:rFonts w:ascii="Arial" w:eastAsiaTheme="minorEastAsia" w:hAnsi="Arial" w:cs="Arial"/>
                <w:b w:val="0"/>
                <w:color w:val="000000" w:themeColor="text1"/>
                <w:sz w:val="20"/>
                <w:szCs w:val="20"/>
              </w:rPr>
              <w:t xml:space="preserve"> a 157,9 tonnellate per milione di euro.</w:t>
            </w:r>
          </w:p>
          <w:p w14:paraId="400E3A3D" w14:textId="1C488650" w:rsidR="0010574A" w:rsidRPr="00B7109E" w:rsidRDefault="0010574A" w:rsidP="00081012">
            <w:pPr>
              <w:pStyle w:val="ATitoloparagrafo"/>
              <w:numPr>
                <w:ilvl w:val="0"/>
                <w:numId w:val="20"/>
              </w:numPr>
              <w:tabs>
                <w:tab w:val="clear" w:pos="720"/>
              </w:tabs>
              <w:spacing w:before="0" w:after="0"/>
              <w:ind w:left="369"/>
              <w:jc w:val="both"/>
              <w:rPr>
                <w:rFonts w:ascii="Arial" w:eastAsiaTheme="minorEastAsia" w:hAnsi="Arial" w:cs="Arial"/>
                <w:b w:val="0"/>
                <w:color w:val="000000" w:themeColor="text1"/>
                <w:sz w:val="20"/>
                <w:szCs w:val="20"/>
              </w:rPr>
            </w:pPr>
            <w:r w:rsidRPr="00B7109E">
              <w:rPr>
                <w:rFonts w:ascii="Arial" w:eastAsiaTheme="minorEastAsia" w:hAnsi="Arial" w:cs="Arial"/>
                <w:b w:val="0"/>
                <w:color w:val="000000" w:themeColor="text1"/>
                <w:sz w:val="20"/>
                <w:szCs w:val="20"/>
              </w:rPr>
              <w:t>Nel 2020, l’intensità di ricercatori per 10 mila abitanti registra per la prima volta una lieve battuta d’arresto, e scende a 26,3, rispetto al valore di 26,9 del 2019.</w:t>
            </w:r>
          </w:p>
          <w:p w14:paraId="7CDD0C19" w14:textId="2AD68AD9" w:rsidR="0010574A" w:rsidRPr="00B7109E" w:rsidRDefault="0010574A" w:rsidP="00081012">
            <w:pPr>
              <w:pStyle w:val="ATitoloparagrafo"/>
              <w:numPr>
                <w:ilvl w:val="0"/>
                <w:numId w:val="20"/>
              </w:numPr>
              <w:tabs>
                <w:tab w:val="clear" w:pos="720"/>
              </w:tabs>
              <w:spacing w:before="0" w:after="0"/>
              <w:ind w:left="369"/>
              <w:jc w:val="both"/>
              <w:rPr>
                <w:rFonts w:ascii="Arial" w:eastAsiaTheme="minorEastAsia" w:hAnsi="Arial" w:cs="Arial"/>
                <w:b w:val="0"/>
                <w:color w:val="000000" w:themeColor="text1"/>
                <w:sz w:val="20"/>
                <w:szCs w:val="20"/>
                <w:lang w:eastAsia="en-US"/>
              </w:rPr>
            </w:pPr>
            <w:r w:rsidRPr="00B7109E">
              <w:rPr>
                <w:rFonts w:ascii="Arial" w:eastAsiaTheme="minorEastAsia" w:hAnsi="Arial" w:cs="Arial"/>
                <w:b w:val="0"/>
                <w:color w:val="000000" w:themeColor="text1"/>
                <w:sz w:val="20"/>
                <w:szCs w:val="20"/>
              </w:rPr>
              <w:t xml:space="preserve">Nel 2022, la percentuale di occupati in posizioni specializzate in ICT è cresciuta di </w:t>
            </w:r>
            <w:r w:rsidR="00095E08">
              <w:rPr>
                <w:rFonts w:ascii="Arial" w:eastAsiaTheme="minorEastAsia" w:hAnsi="Arial" w:cs="Arial"/>
                <w:b w:val="0"/>
                <w:color w:val="000000" w:themeColor="text1"/>
                <w:sz w:val="20"/>
                <w:szCs w:val="20"/>
              </w:rPr>
              <w:t>0,</w:t>
            </w:r>
            <w:r w:rsidRPr="00B7109E">
              <w:rPr>
                <w:rFonts w:ascii="Arial" w:eastAsiaTheme="minorEastAsia" w:hAnsi="Arial" w:cs="Arial"/>
                <w:b w:val="0"/>
                <w:color w:val="000000" w:themeColor="text1"/>
                <w:sz w:val="20"/>
                <w:szCs w:val="20"/>
              </w:rPr>
              <w:t xml:space="preserve">2 punti percentuali rispetto al 2021, raggiungendo il 3,9% degli occupati. </w:t>
            </w:r>
          </w:p>
          <w:p w14:paraId="47262866" w14:textId="77777777" w:rsidR="0010574A" w:rsidRPr="00B7109E" w:rsidRDefault="0010574A" w:rsidP="00081012">
            <w:pPr>
              <w:pStyle w:val="Paragrafoelenco"/>
              <w:widowControl/>
              <w:numPr>
                <w:ilvl w:val="0"/>
                <w:numId w:val="20"/>
              </w:numPr>
              <w:autoSpaceDE/>
              <w:autoSpaceDN/>
              <w:ind w:left="369"/>
              <w:jc w:val="both"/>
              <w:rPr>
                <w:rFonts w:ascii="Arial" w:eastAsiaTheme="minorEastAsia" w:hAnsi="Arial" w:cs="Arial"/>
                <w:color w:val="000000" w:themeColor="text1"/>
                <w:sz w:val="20"/>
                <w:szCs w:val="20"/>
                <w:lang w:val="it-IT" w:eastAsia="it-IT"/>
              </w:rPr>
            </w:pPr>
            <w:r w:rsidRPr="00B7109E">
              <w:rPr>
                <w:rFonts w:ascii="Arial" w:eastAsiaTheme="minorEastAsia" w:hAnsi="Arial" w:cs="Arial"/>
                <w:color w:val="000000" w:themeColor="text1"/>
                <w:sz w:val="20"/>
                <w:szCs w:val="20"/>
                <w:lang w:val="it-IT" w:eastAsia="it-IT"/>
              </w:rPr>
              <w:t xml:space="preserve">Tra il 2021 e il 2022, la quota di lavoratori della conoscenza è scesa, dal 18,2%, al 17,8%. </w:t>
            </w:r>
          </w:p>
          <w:p w14:paraId="6DCA2D25" w14:textId="6F457C34" w:rsidR="00DA027B" w:rsidRPr="00B7109E" w:rsidRDefault="0010574A" w:rsidP="00081012">
            <w:pPr>
              <w:pStyle w:val="Paragrafoelenco"/>
              <w:widowControl/>
              <w:numPr>
                <w:ilvl w:val="0"/>
                <w:numId w:val="20"/>
              </w:numPr>
              <w:autoSpaceDE/>
              <w:autoSpaceDN/>
              <w:ind w:left="369"/>
              <w:jc w:val="both"/>
              <w:rPr>
                <w:rFonts w:ascii="Arial" w:eastAsia="Times New Roman" w:hAnsi="Arial" w:cs="Arial"/>
                <w:color w:val="000000" w:themeColor="text1"/>
                <w:sz w:val="20"/>
                <w:szCs w:val="20"/>
                <w:lang w:val="it-IT" w:eastAsia="it-IT"/>
              </w:rPr>
            </w:pPr>
            <w:r w:rsidRPr="00B7109E">
              <w:rPr>
                <w:rFonts w:ascii="Arial" w:eastAsiaTheme="minorEastAsia" w:hAnsi="Arial" w:cs="Arial"/>
                <w:color w:val="000000" w:themeColor="text1"/>
                <w:sz w:val="20"/>
                <w:szCs w:val="20"/>
                <w:lang w:val="it-IT"/>
              </w:rPr>
              <w:t>La percentuale di famiglie che risiedono in una zona servita da una connessione di nuova generazione ad altissima capacità è passata dal 23,9% nel 2018 al 53,7% nel 2022.</w:t>
            </w:r>
          </w:p>
        </w:tc>
      </w:tr>
      <w:tr w:rsidR="00DA027B" w:rsidRPr="00A03E49" w14:paraId="244831E3" w14:textId="77777777" w:rsidTr="00582270">
        <w:trPr>
          <w:trHeight w:val="1883"/>
        </w:trPr>
        <w:tc>
          <w:tcPr>
            <w:tcW w:w="1926" w:type="dxa"/>
          </w:tcPr>
          <w:p w14:paraId="3B692077" w14:textId="77777777" w:rsidR="00DA027B" w:rsidRPr="00D40F1D" w:rsidRDefault="00DA027B" w:rsidP="00582270">
            <w:pPr>
              <w:pStyle w:val="Titoloparagrafo"/>
              <w:spacing w:before="0" w:after="0"/>
              <w:rPr>
                <w:rFonts w:ascii="Helvetica LT Std Cond" w:hAnsi="Helvetica LT Std Cond"/>
                <w:noProof/>
                <w:sz w:val="24"/>
                <w:szCs w:val="24"/>
                <w:lang w:eastAsia="it-IT"/>
              </w:rPr>
            </w:pPr>
            <w:r>
              <w:rPr>
                <w:rFonts w:ascii="Helvetica LT Std Cond" w:hAnsi="Helvetica LT Std Cond"/>
                <w:noProof/>
                <w:sz w:val="24"/>
                <w:szCs w:val="24"/>
                <w:lang w:eastAsia="it-IT"/>
              </w:rPr>
              <w:drawing>
                <wp:anchor distT="0" distB="0" distL="114300" distR="114300" simplePos="0" relativeHeight="251668480" behindDoc="0" locked="0" layoutInCell="1" allowOverlap="1" wp14:anchorId="260C12A9" wp14:editId="383491EC">
                  <wp:simplePos x="0" y="0"/>
                  <wp:positionH relativeFrom="column">
                    <wp:posOffset>3175</wp:posOffset>
                  </wp:positionH>
                  <wp:positionV relativeFrom="paragraph">
                    <wp:posOffset>115266</wp:posOffset>
                  </wp:positionV>
                  <wp:extent cx="1080000" cy="1080000"/>
                  <wp:effectExtent l="0" t="0" r="6350" b="635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G-icon-IT-RGB-1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tc>
        <w:tc>
          <w:tcPr>
            <w:tcW w:w="6567" w:type="dxa"/>
          </w:tcPr>
          <w:p w14:paraId="23A340A6" w14:textId="77777777" w:rsidR="0010574A" w:rsidRPr="00B7109E" w:rsidRDefault="0010574A" w:rsidP="00081012">
            <w:pPr>
              <w:pStyle w:val="Paragrafoelenco"/>
              <w:widowControl/>
              <w:numPr>
                <w:ilvl w:val="0"/>
                <w:numId w:val="13"/>
              </w:numPr>
              <w:autoSpaceDE/>
              <w:autoSpaceDN/>
              <w:adjustRightInd w:val="0"/>
              <w:ind w:left="369"/>
              <w:jc w:val="both"/>
              <w:rPr>
                <w:rFonts w:ascii="Arial" w:eastAsiaTheme="minorEastAsia" w:hAnsi="Arial" w:cs="Arial"/>
                <w:color w:val="000000" w:themeColor="text1"/>
                <w:sz w:val="20"/>
                <w:szCs w:val="20"/>
                <w:lang w:val="it-IT"/>
              </w:rPr>
            </w:pPr>
            <w:r w:rsidRPr="00B7109E">
              <w:rPr>
                <w:rFonts w:ascii="Arial" w:eastAsiaTheme="minorEastAsia" w:hAnsi="Arial" w:cs="Arial"/>
                <w:color w:val="000000" w:themeColor="text1"/>
                <w:sz w:val="20"/>
                <w:szCs w:val="20"/>
                <w:lang w:val="it-IT"/>
              </w:rPr>
              <w:t>Nel 2022 aumenta il reddito disponibile delle famiglie (+6,5% rispetto al 2021), ma si riduce il potere d’acquisto (-1,2%), a causa dell’incremento dei prezzi al consumo (+8,1%).</w:t>
            </w:r>
          </w:p>
          <w:p w14:paraId="48F3DC3F" w14:textId="77777777" w:rsidR="0010574A" w:rsidRPr="00B7109E" w:rsidRDefault="0010574A" w:rsidP="00081012">
            <w:pPr>
              <w:pStyle w:val="Paragrafoelenco"/>
              <w:widowControl/>
              <w:numPr>
                <w:ilvl w:val="0"/>
                <w:numId w:val="13"/>
              </w:numPr>
              <w:autoSpaceDE/>
              <w:autoSpaceDN/>
              <w:adjustRightInd w:val="0"/>
              <w:ind w:left="369"/>
              <w:jc w:val="both"/>
              <w:rPr>
                <w:rFonts w:ascii="Arial" w:eastAsiaTheme="minorEastAsia" w:hAnsi="Arial" w:cs="Arial"/>
                <w:color w:val="000000" w:themeColor="text1"/>
                <w:sz w:val="20"/>
                <w:szCs w:val="20"/>
                <w:lang w:val="it-IT"/>
              </w:rPr>
            </w:pPr>
            <w:r w:rsidRPr="00B7109E">
              <w:rPr>
                <w:rFonts w:ascii="Arial" w:eastAsiaTheme="minorEastAsia" w:hAnsi="Arial" w:cs="Arial"/>
                <w:color w:val="000000" w:themeColor="text1"/>
                <w:sz w:val="20"/>
                <w:szCs w:val="20"/>
                <w:lang w:val="it-IT"/>
              </w:rPr>
              <w:t>Lieve miglioramento delle disuguaglianze nella distribuzione dei redditi: tra il 2020 e il 2021 il reddito familiare pro capite del 40% più povero della popolazione aumenta maggiormente (+5,7%) rispetto a quello del totale della popolazione (+3,6%).</w:t>
            </w:r>
          </w:p>
          <w:p w14:paraId="21555EC9" w14:textId="77777777" w:rsidR="00C23A5F" w:rsidRPr="00B7109E" w:rsidRDefault="0010574A" w:rsidP="00C23A5F">
            <w:pPr>
              <w:pStyle w:val="Paragrafoelenco"/>
              <w:widowControl/>
              <w:numPr>
                <w:ilvl w:val="0"/>
                <w:numId w:val="13"/>
              </w:numPr>
              <w:autoSpaceDE/>
              <w:autoSpaceDN/>
              <w:adjustRightInd w:val="0"/>
              <w:ind w:left="369"/>
              <w:jc w:val="both"/>
              <w:rPr>
                <w:rFonts w:ascii="Arial" w:eastAsia="Times New Roman" w:hAnsi="Arial" w:cs="Arial"/>
                <w:color w:val="000000" w:themeColor="text1"/>
                <w:sz w:val="20"/>
                <w:szCs w:val="20"/>
                <w:lang w:val="it-IT" w:eastAsia="it-IT"/>
              </w:rPr>
            </w:pPr>
            <w:r w:rsidRPr="00B7109E">
              <w:rPr>
                <w:rFonts w:ascii="Arial" w:eastAsiaTheme="minorEastAsia" w:hAnsi="Arial" w:cs="Arial"/>
                <w:color w:val="000000" w:themeColor="text1"/>
                <w:sz w:val="20"/>
                <w:szCs w:val="20"/>
                <w:lang w:val="it-IT"/>
              </w:rPr>
              <w:t xml:space="preserve">Nel 2021, nel Mezzogiorno diminuisce la diseguaglianza del reddito, mentre rimane essenzialmente stabile al Nord e al Centro. </w:t>
            </w:r>
          </w:p>
          <w:p w14:paraId="4B0F47F4" w14:textId="7EEF1B2B" w:rsidR="00A914BB" w:rsidRPr="0069103C" w:rsidRDefault="0010574A" w:rsidP="009115D3">
            <w:pPr>
              <w:pStyle w:val="Paragrafoelenco"/>
              <w:widowControl/>
              <w:numPr>
                <w:ilvl w:val="0"/>
                <w:numId w:val="13"/>
              </w:numPr>
              <w:autoSpaceDE/>
              <w:autoSpaceDN/>
              <w:adjustRightInd w:val="0"/>
              <w:ind w:left="369"/>
              <w:jc w:val="both"/>
              <w:rPr>
                <w:lang w:val="it-IT" w:eastAsia="it-IT"/>
              </w:rPr>
            </w:pPr>
            <w:r w:rsidRPr="00B7109E">
              <w:rPr>
                <w:rFonts w:ascii="Arial" w:eastAsiaTheme="minorEastAsia" w:hAnsi="Arial" w:cs="Arial"/>
                <w:color w:val="000000" w:themeColor="text1"/>
                <w:sz w:val="20"/>
                <w:szCs w:val="20"/>
                <w:lang w:val="it-IT"/>
              </w:rPr>
              <w:t xml:space="preserve">A fine dicembre 2022 sono </w:t>
            </w:r>
            <w:r w:rsidRPr="0069103C">
              <w:rPr>
                <w:rFonts w:ascii="Arial" w:eastAsiaTheme="minorEastAsia" w:hAnsi="Arial" w:cs="Arial"/>
                <w:color w:val="000000" w:themeColor="text1"/>
                <w:sz w:val="20"/>
                <w:szCs w:val="20"/>
                <w:lang w:val="it-IT"/>
              </w:rPr>
              <w:t>oltre 145mila gli ucraini accolti in Italia con un permesso di soggiorno di protezione temporanea</w:t>
            </w:r>
            <w:r w:rsidRPr="00B7109E">
              <w:rPr>
                <w:rFonts w:ascii="Arial" w:eastAsiaTheme="minorEastAsia" w:hAnsi="Arial" w:cs="Arial"/>
                <w:color w:val="000000" w:themeColor="text1"/>
                <w:sz w:val="20"/>
                <w:szCs w:val="20"/>
                <w:lang w:val="it-IT"/>
              </w:rPr>
              <w:t>.</w:t>
            </w:r>
          </w:p>
        </w:tc>
      </w:tr>
      <w:tr w:rsidR="00DA027B" w:rsidRPr="008E00DD" w14:paraId="2F705546" w14:textId="77777777" w:rsidTr="0010574A">
        <w:tc>
          <w:tcPr>
            <w:tcW w:w="1926" w:type="dxa"/>
          </w:tcPr>
          <w:p w14:paraId="00AE8791" w14:textId="77777777" w:rsidR="00DA027B" w:rsidRPr="00D40F1D" w:rsidRDefault="00DA027B" w:rsidP="00582270">
            <w:pPr>
              <w:pStyle w:val="Titoloparagrafo"/>
              <w:spacing w:before="0" w:after="0"/>
              <w:rPr>
                <w:rFonts w:ascii="Helvetica LT Std Cond" w:hAnsi="Helvetica LT Std Cond"/>
                <w:noProof/>
                <w:sz w:val="24"/>
                <w:szCs w:val="24"/>
                <w:lang w:eastAsia="it-IT"/>
              </w:rPr>
            </w:pPr>
            <w:r w:rsidRPr="00D40F1D">
              <w:rPr>
                <w:rFonts w:ascii="Helvetica LT Std Cond" w:hAnsi="Helvetica LT Std Cond"/>
                <w:noProof/>
                <w:lang w:eastAsia="it-IT"/>
              </w:rPr>
              <w:lastRenderedPageBreak/>
              <w:drawing>
                <wp:anchor distT="0" distB="0" distL="114300" distR="114300" simplePos="0" relativeHeight="251669504" behindDoc="0" locked="0" layoutInCell="1" allowOverlap="1" wp14:anchorId="53CECADF" wp14:editId="3F49B96F">
                  <wp:simplePos x="0" y="0"/>
                  <wp:positionH relativeFrom="column">
                    <wp:posOffset>-6350</wp:posOffset>
                  </wp:positionH>
                  <wp:positionV relativeFrom="paragraph">
                    <wp:posOffset>107950</wp:posOffset>
                  </wp:positionV>
                  <wp:extent cx="1080000" cy="1080000"/>
                  <wp:effectExtent l="0" t="0" r="6350" b="6350"/>
                  <wp:wrapSquare wrapText="bothSides"/>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11goal_I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tc>
        <w:tc>
          <w:tcPr>
            <w:tcW w:w="6567" w:type="dxa"/>
            <w:shd w:val="clear" w:color="auto" w:fill="auto"/>
          </w:tcPr>
          <w:p w14:paraId="5A292EC6" w14:textId="77777777" w:rsidR="0010574A" w:rsidRPr="00B7109E" w:rsidRDefault="0010574A" w:rsidP="00081012">
            <w:pPr>
              <w:pStyle w:val="Paragrafoelenco"/>
              <w:widowControl/>
              <w:numPr>
                <w:ilvl w:val="0"/>
                <w:numId w:val="17"/>
              </w:numPr>
              <w:adjustRightInd w:val="0"/>
              <w:ind w:left="369"/>
              <w:jc w:val="both"/>
              <w:rPr>
                <w:rFonts w:ascii="Arial" w:eastAsiaTheme="minorEastAsia" w:hAnsi="Arial" w:cs="Arial"/>
                <w:color w:val="000000" w:themeColor="text1"/>
                <w:sz w:val="20"/>
                <w:szCs w:val="20"/>
                <w:lang w:val="it-IT"/>
              </w:rPr>
            </w:pPr>
            <w:r w:rsidRPr="00B7109E">
              <w:rPr>
                <w:rFonts w:ascii="Arial" w:eastAsiaTheme="minorEastAsia" w:hAnsi="Arial" w:cs="Arial"/>
                <w:color w:val="000000" w:themeColor="text1"/>
                <w:sz w:val="20"/>
                <w:szCs w:val="20"/>
                <w:lang w:val="it-IT"/>
              </w:rPr>
              <w:t xml:space="preserve">Nel 2022, diminuisce la quota di popolazione che lamenta problemi strutturali o di umidità dell’abitazione (16,6%), avvicinandosi al livello </w:t>
            </w:r>
            <w:proofErr w:type="spellStart"/>
            <w:r w:rsidRPr="00B7109E">
              <w:rPr>
                <w:rFonts w:ascii="Arial" w:eastAsiaTheme="minorEastAsia" w:hAnsi="Arial" w:cs="Arial"/>
                <w:color w:val="000000" w:themeColor="text1"/>
                <w:sz w:val="20"/>
                <w:szCs w:val="20"/>
                <w:lang w:val="it-IT"/>
              </w:rPr>
              <w:t>pre</w:t>
            </w:r>
            <w:proofErr w:type="spellEnd"/>
            <w:r w:rsidRPr="00B7109E">
              <w:rPr>
                <w:rFonts w:ascii="Arial" w:eastAsiaTheme="minorEastAsia" w:hAnsi="Arial" w:cs="Arial"/>
                <w:color w:val="000000" w:themeColor="text1"/>
                <w:sz w:val="20"/>
                <w:szCs w:val="20"/>
                <w:lang w:val="it-IT"/>
              </w:rPr>
              <w:t>-pandemico (14%).</w:t>
            </w:r>
          </w:p>
          <w:p w14:paraId="78F45697" w14:textId="77777777" w:rsidR="0010574A" w:rsidRPr="00B7109E" w:rsidRDefault="0010574A" w:rsidP="00081012">
            <w:pPr>
              <w:pStyle w:val="Paragrafoelenco"/>
              <w:widowControl/>
              <w:numPr>
                <w:ilvl w:val="0"/>
                <w:numId w:val="17"/>
              </w:numPr>
              <w:adjustRightInd w:val="0"/>
              <w:ind w:left="369"/>
              <w:jc w:val="both"/>
              <w:rPr>
                <w:rFonts w:ascii="Arial" w:eastAsiaTheme="minorEastAsia" w:hAnsi="Arial" w:cs="Arial"/>
                <w:color w:val="000000" w:themeColor="text1"/>
                <w:sz w:val="20"/>
                <w:szCs w:val="20"/>
                <w:lang w:val="it-IT"/>
              </w:rPr>
            </w:pPr>
            <w:r w:rsidRPr="00B7109E">
              <w:rPr>
                <w:rFonts w:ascii="Arial" w:eastAsiaTheme="minorEastAsia" w:hAnsi="Arial" w:cs="Arial"/>
                <w:color w:val="000000" w:themeColor="text1"/>
                <w:sz w:val="20"/>
                <w:szCs w:val="20"/>
                <w:lang w:val="it-IT"/>
              </w:rPr>
              <w:t>Cresce la quota di studenti che nel 2022 utilizzano abitualmente i mezzi pubblici (25,1%), dopo la forte riduzione del biennio 2020-2021.</w:t>
            </w:r>
          </w:p>
          <w:p w14:paraId="50AAD7F0" w14:textId="77777777" w:rsidR="0010574A" w:rsidRPr="00B7109E" w:rsidRDefault="0010574A" w:rsidP="00081012">
            <w:pPr>
              <w:pStyle w:val="Paragrafoelenco"/>
              <w:widowControl/>
              <w:numPr>
                <w:ilvl w:val="0"/>
                <w:numId w:val="17"/>
              </w:numPr>
              <w:adjustRightInd w:val="0"/>
              <w:ind w:left="369"/>
              <w:jc w:val="both"/>
              <w:rPr>
                <w:rFonts w:ascii="Arial" w:eastAsiaTheme="minorEastAsia" w:hAnsi="Arial" w:cs="Arial"/>
                <w:color w:val="000000" w:themeColor="text1"/>
                <w:sz w:val="20"/>
                <w:szCs w:val="20"/>
                <w:lang w:val="it-IT"/>
              </w:rPr>
            </w:pPr>
            <w:r w:rsidRPr="00B7109E">
              <w:rPr>
                <w:rFonts w:ascii="Arial" w:eastAsiaTheme="minorEastAsia" w:hAnsi="Arial" w:cs="Arial"/>
                <w:color w:val="000000" w:themeColor="text1"/>
                <w:sz w:val="20"/>
                <w:szCs w:val="20"/>
                <w:lang w:val="it-IT"/>
              </w:rPr>
              <w:t>Aumenta nel 2021, dopo il crollo del 2020 (-18,7% rispetto al 2019), l’offerta di trasporto pubblico locale, che raggiunge i 4.740 posti-km.</w:t>
            </w:r>
          </w:p>
          <w:p w14:paraId="452B0068" w14:textId="77777777" w:rsidR="0010574A" w:rsidRPr="00B7109E" w:rsidRDefault="0010574A" w:rsidP="00081012">
            <w:pPr>
              <w:pStyle w:val="Paragrafoelenco"/>
              <w:widowControl/>
              <w:numPr>
                <w:ilvl w:val="0"/>
                <w:numId w:val="17"/>
              </w:numPr>
              <w:adjustRightInd w:val="0"/>
              <w:ind w:left="369"/>
              <w:jc w:val="both"/>
              <w:rPr>
                <w:rFonts w:ascii="Arial" w:eastAsiaTheme="minorEastAsia" w:hAnsi="Arial" w:cs="Arial"/>
                <w:color w:val="000000" w:themeColor="text1"/>
                <w:sz w:val="20"/>
                <w:szCs w:val="20"/>
                <w:lang w:val="it-IT"/>
              </w:rPr>
            </w:pPr>
            <w:r w:rsidRPr="00B7109E">
              <w:rPr>
                <w:rFonts w:ascii="Arial" w:eastAsiaTheme="minorEastAsia" w:hAnsi="Arial" w:cs="Arial"/>
                <w:color w:val="000000" w:themeColor="text1"/>
                <w:sz w:val="20"/>
                <w:szCs w:val="20"/>
                <w:lang w:val="it-IT"/>
              </w:rPr>
              <w:t>La produzione di rifiuti urbani nel 2021 cresce nell’83,5% dei comuni capoluogo; il 51,6% di questi recuperano o superano il livello del 2019.</w:t>
            </w:r>
          </w:p>
          <w:p w14:paraId="1DBB770A" w14:textId="77777777" w:rsidR="0010574A" w:rsidRPr="00B7109E" w:rsidRDefault="0010574A" w:rsidP="00081012">
            <w:pPr>
              <w:pStyle w:val="Paragrafoelenco"/>
              <w:widowControl/>
              <w:numPr>
                <w:ilvl w:val="0"/>
                <w:numId w:val="17"/>
              </w:numPr>
              <w:adjustRightInd w:val="0"/>
              <w:ind w:left="369"/>
              <w:jc w:val="both"/>
              <w:rPr>
                <w:rFonts w:ascii="Arial" w:eastAsiaTheme="minorEastAsia" w:hAnsi="Arial" w:cs="Arial"/>
                <w:color w:val="000000" w:themeColor="text1"/>
                <w:sz w:val="20"/>
                <w:szCs w:val="20"/>
                <w:lang w:val="it-IT"/>
              </w:rPr>
            </w:pPr>
            <w:r w:rsidRPr="00B7109E">
              <w:rPr>
                <w:rFonts w:ascii="Arial" w:eastAsiaTheme="minorEastAsia" w:hAnsi="Arial" w:cs="Arial"/>
                <w:color w:val="000000" w:themeColor="text1"/>
                <w:sz w:val="20"/>
                <w:szCs w:val="20"/>
                <w:lang w:val="it-IT"/>
              </w:rPr>
              <w:t>Estremi meteoclimatici in aumento nel 2021 nei capoluoghi di regione rispetto ai valori climatici 1981-2010.</w:t>
            </w:r>
          </w:p>
          <w:p w14:paraId="42937EB2" w14:textId="67C9025F" w:rsidR="00DA027B" w:rsidRPr="00B7109E" w:rsidRDefault="0010574A" w:rsidP="00081012">
            <w:pPr>
              <w:pStyle w:val="Paragrafoelenco"/>
              <w:widowControl/>
              <w:numPr>
                <w:ilvl w:val="0"/>
                <w:numId w:val="17"/>
              </w:numPr>
              <w:adjustRightInd w:val="0"/>
              <w:ind w:left="369"/>
              <w:jc w:val="both"/>
              <w:rPr>
                <w:rFonts w:ascii="Arial" w:hAnsi="Arial" w:cs="Arial"/>
                <w:color w:val="000000" w:themeColor="text1"/>
                <w:sz w:val="20"/>
                <w:szCs w:val="20"/>
                <w:lang w:val="it-IT"/>
              </w:rPr>
            </w:pPr>
            <w:r w:rsidRPr="00B7109E">
              <w:rPr>
                <w:rFonts w:ascii="Arial" w:eastAsiaTheme="minorEastAsia" w:hAnsi="Arial" w:cs="Arial"/>
                <w:color w:val="000000" w:themeColor="text1"/>
                <w:sz w:val="20"/>
                <w:szCs w:val="20"/>
                <w:lang w:val="it-IT"/>
              </w:rPr>
              <w:t>Nel 2021 continua a ridursi l’inquinamento da PM</w:t>
            </w:r>
            <w:r w:rsidRPr="00B7109E">
              <w:rPr>
                <w:rFonts w:ascii="Arial" w:eastAsiaTheme="minorEastAsia" w:hAnsi="Arial" w:cs="Arial"/>
                <w:color w:val="000000" w:themeColor="text1"/>
                <w:sz w:val="20"/>
                <w:szCs w:val="20"/>
                <w:vertAlign w:val="subscript"/>
                <w:lang w:val="it-IT"/>
              </w:rPr>
              <w:t>2,5</w:t>
            </w:r>
            <w:r w:rsidRPr="00B7109E">
              <w:rPr>
                <w:rFonts w:ascii="Arial" w:eastAsiaTheme="minorEastAsia" w:hAnsi="Arial" w:cs="Arial"/>
                <w:color w:val="000000" w:themeColor="text1"/>
                <w:sz w:val="20"/>
                <w:szCs w:val="20"/>
                <w:lang w:val="it-IT"/>
              </w:rPr>
              <w:t>, ma resta su livelli in gran parte sopra i riferimenti indicati dall’OMS per ridurre i danni alla salute.</w:t>
            </w:r>
          </w:p>
        </w:tc>
      </w:tr>
      <w:tr w:rsidR="00DA027B" w:rsidRPr="00231CD6" w14:paraId="036C731E" w14:textId="77777777" w:rsidTr="00582270">
        <w:tc>
          <w:tcPr>
            <w:tcW w:w="1926" w:type="dxa"/>
          </w:tcPr>
          <w:p w14:paraId="03841EDF" w14:textId="77777777" w:rsidR="00DA027B" w:rsidRPr="00D40F1D" w:rsidRDefault="00DA027B" w:rsidP="00582270">
            <w:pPr>
              <w:pStyle w:val="Titoloparagrafo"/>
              <w:spacing w:before="0" w:after="0"/>
              <w:rPr>
                <w:rFonts w:ascii="Helvetica LT Std Cond" w:hAnsi="Helvetica LT Std Cond"/>
                <w:noProof/>
                <w:sz w:val="24"/>
                <w:szCs w:val="24"/>
                <w:lang w:eastAsia="it-IT"/>
              </w:rPr>
            </w:pPr>
            <w:r w:rsidRPr="00D40F1D">
              <w:rPr>
                <w:rFonts w:ascii="Helvetica LT Std Cond" w:hAnsi="Helvetica LT Std Cond"/>
                <w:noProof/>
                <w:sz w:val="24"/>
                <w:szCs w:val="24"/>
                <w:lang w:eastAsia="it-IT"/>
              </w:rPr>
              <w:drawing>
                <wp:anchor distT="0" distB="0" distL="114300" distR="114300" simplePos="0" relativeHeight="251670528" behindDoc="0" locked="0" layoutInCell="1" allowOverlap="1" wp14:anchorId="0A5BAACC" wp14:editId="79B414EB">
                  <wp:simplePos x="0" y="0"/>
                  <wp:positionH relativeFrom="column">
                    <wp:posOffset>-6350</wp:posOffset>
                  </wp:positionH>
                  <wp:positionV relativeFrom="paragraph">
                    <wp:posOffset>107950</wp:posOffset>
                  </wp:positionV>
                  <wp:extent cx="1080000" cy="1080000"/>
                  <wp:effectExtent l="0" t="0" r="6350" b="6350"/>
                  <wp:wrapSquare wrapText="bothSides"/>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12goal_I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tc>
        <w:tc>
          <w:tcPr>
            <w:tcW w:w="6567" w:type="dxa"/>
          </w:tcPr>
          <w:p w14:paraId="406B0505" w14:textId="77777777" w:rsidR="00CA5170" w:rsidRPr="00B7109E" w:rsidRDefault="00CA5170" w:rsidP="00081012">
            <w:pPr>
              <w:pStyle w:val="Paragrafoelenco"/>
              <w:widowControl/>
              <w:numPr>
                <w:ilvl w:val="0"/>
                <w:numId w:val="17"/>
              </w:numPr>
              <w:adjustRightInd w:val="0"/>
              <w:ind w:left="369"/>
              <w:jc w:val="both"/>
              <w:rPr>
                <w:rFonts w:ascii="Arial" w:hAnsi="Arial" w:cs="Arial"/>
                <w:color w:val="000000" w:themeColor="text1"/>
                <w:sz w:val="20"/>
                <w:szCs w:val="20"/>
                <w:lang w:val="it-IT"/>
              </w:rPr>
            </w:pPr>
            <w:r w:rsidRPr="00B7109E">
              <w:rPr>
                <w:rFonts w:ascii="Arial" w:hAnsi="Arial" w:cs="Arial"/>
                <w:color w:val="000000" w:themeColor="text1"/>
                <w:sz w:val="20"/>
                <w:szCs w:val="20"/>
                <w:lang w:val="it-IT"/>
              </w:rPr>
              <w:t>Nel 2021, il consumo di materia torna a crescere sia rispetto alla popolazione sia rispetto al Pil. Ciò nonostante, l’Italia si conferma al terzo posto nella graduatoria europea.</w:t>
            </w:r>
          </w:p>
          <w:p w14:paraId="64AC785E" w14:textId="221A083E" w:rsidR="00CA5170" w:rsidRPr="00B7109E" w:rsidRDefault="00CA5170" w:rsidP="00081012">
            <w:pPr>
              <w:pStyle w:val="Paragrafoelenco"/>
              <w:widowControl/>
              <w:numPr>
                <w:ilvl w:val="0"/>
                <w:numId w:val="17"/>
              </w:numPr>
              <w:adjustRightInd w:val="0"/>
              <w:ind w:left="369"/>
              <w:jc w:val="both"/>
              <w:rPr>
                <w:rFonts w:ascii="Arial" w:hAnsi="Arial" w:cs="Arial"/>
                <w:color w:val="000000" w:themeColor="text1"/>
                <w:sz w:val="20"/>
                <w:szCs w:val="20"/>
                <w:lang w:val="it-IT"/>
              </w:rPr>
            </w:pPr>
            <w:r w:rsidRPr="00B7109E">
              <w:rPr>
                <w:rFonts w:ascii="Arial" w:hAnsi="Arial" w:cs="Arial"/>
                <w:color w:val="000000" w:themeColor="text1"/>
                <w:sz w:val="20"/>
                <w:szCs w:val="20"/>
                <w:lang w:val="it-IT"/>
              </w:rPr>
              <w:t xml:space="preserve">Nel 2021, l’aumento della produzione pro capite dei rifiuti urbani </w:t>
            </w:r>
            <w:r w:rsidR="001912E9">
              <w:rPr>
                <w:rFonts w:ascii="Arial" w:hAnsi="Arial" w:cs="Arial"/>
                <w:color w:val="000000" w:themeColor="text1"/>
                <w:sz w:val="20"/>
                <w:szCs w:val="20"/>
                <w:lang w:val="it-IT"/>
              </w:rPr>
              <w:br/>
            </w:r>
            <w:r w:rsidRPr="00B7109E">
              <w:rPr>
                <w:rFonts w:ascii="Arial" w:hAnsi="Arial" w:cs="Arial"/>
                <w:color w:val="000000" w:themeColor="text1"/>
                <w:sz w:val="20"/>
                <w:szCs w:val="20"/>
                <w:lang w:val="it-IT"/>
              </w:rPr>
              <w:t xml:space="preserve">(+14 kg) riporta l’Italia alla situazione </w:t>
            </w:r>
            <w:proofErr w:type="spellStart"/>
            <w:r w:rsidRPr="00B7109E">
              <w:rPr>
                <w:rFonts w:ascii="Arial" w:hAnsi="Arial" w:cs="Arial"/>
                <w:color w:val="000000" w:themeColor="text1"/>
                <w:sz w:val="20"/>
                <w:szCs w:val="20"/>
                <w:lang w:val="it-IT"/>
              </w:rPr>
              <w:t>pre</w:t>
            </w:r>
            <w:proofErr w:type="spellEnd"/>
            <w:r w:rsidRPr="00B7109E">
              <w:rPr>
                <w:rFonts w:ascii="Arial" w:hAnsi="Arial" w:cs="Arial"/>
                <w:color w:val="000000" w:themeColor="text1"/>
                <w:sz w:val="20"/>
                <w:szCs w:val="20"/>
                <w:lang w:val="it-IT"/>
              </w:rPr>
              <w:t>-pandemica.</w:t>
            </w:r>
          </w:p>
          <w:p w14:paraId="47928909" w14:textId="77777777" w:rsidR="00CA5170" w:rsidRPr="00B7109E" w:rsidRDefault="00CA5170" w:rsidP="00081012">
            <w:pPr>
              <w:pStyle w:val="Paragrafoelenco"/>
              <w:widowControl/>
              <w:numPr>
                <w:ilvl w:val="0"/>
                <w:numId w:val="17"/>
              </w:numPr>
              <w:adjustRightInd w:val="0"/>
              <w:ind w:left="369"/>
              <w:jc w:val="both"/>
              <w:rPr>
                <w:rFonts w:ascii="Arial" w:hAnsi="Arial" w:cs="Arial"/>
                <w:color w:val="000000" w:themeColor="text1"/>
                <w:sz w:val="20"/>
                <w:szCs w:val="20"/>
                <w:lang w:val="it-IT"/>
              </w:rPr>
            </w:pPr>
            <w:r w:rsidRPr="00B7109E">
              <w:rPr>
                <w:rFonts w:ascii="Arial" w:hAnsi="Arial" w:cs="Arial"/>
                <w:color w:val="000000" w:themeColor="text1"/>
                <w:sz w:val="20"/>
                <w:szCs w:val="20"/>
                <w:lang w:val="it-IT"/>
              </w:rPr>
              <w:t>Nell’ultimo anno, rallentano gli avanzamenti nei processi di gestione dei rifiuti e riconversione in nuove risorse. L’Italia mantiene comunque una posizione virtuosa in ambito europeo, beneficiando del vantaggio guadagnato nell’ultimo decennio.</w:t>
            </w:r>
          </w:p>
          <w:p w14:paraId="5BA004C5" w14:textId="77777777" w:rsidR="00CA5170" w:rsidRPr="00B7109E" w:rsidRDefault="00CA5170" w:rsidP="00081012">
            <w:pPr>
              <w:pStyle w:val="Paragrafoelenco"/>
              <w:widowControl/>
              <w:numPr>
                <w:ilvl w:val="0"/>
                <w:numId w:val="17"/>
              </w:numPr>
              <w:adjustRightInd w:val="0"/>
              <w:ind w:left="369"/>
              <w:jc w:val="both"/>
              <w:rPr>
                <w:rFonts w:ascii="Arial" w:hAnsi="Arial" w:cs="Arial"/>
                <w:color w:val="000000" w:themeColor="text1"/>
                <w:sz w:val="20"/>
                <w:szCs w:val="20"/>
                <w:lang w:val="it-IT"/>
              </w:rPr>
            </w:pPr>
            <w:r w:rsidRPr="00B7109E">
              <w:rPr>
                <w:rFonts w:ascii="Arial" w:hAnsi="Arial" w:cs="Arial"/>
                <w:color w:val="000000" w:themeColor="text1"/>
                <w:sz w:val="20"/>
                <w:szCs w:val="20"/>
                <w:lang w:val="it-IT"/>
              </w:rPr>
              <w:t xml:space="preserve">Nel 2021, la percentuale di riciclaggio dei rifiuti urbani (48,1%) diminuisce di 0,3 punti percentuali e la percentuale di raccolta differenziata dei rifiuti urbani (64,0%) aumenta solo marginalmente (+1,0 punti percentuali). </w:t>
            </w:r>
          </w:p>
          <w:p w14:paraId="7EA10C94" w14:textId="167B2E79" w:rsidR="00DA027B" w:rsidRPr="00B7109E" w:rsidRDefault="00CA5170" w:rsidP="00081012">
            <w:pPr>
              <w:pStyle w:val="Paragrafoelenco"/>
              <w:widowControl/>
              <w:numPr>
                <w:ilvl w:val="0"/>
                <w:numId w:val="17"/>
              </w:numPr>
              <w:adjustRightInd w:val="0"/>
              <w:ind w:left="369"/>
              <w:jc w:val="both"/>
              <w:rPr>
                <w:rFonts w:ascii="Arial" w:eastAsia="Times New Roman" w:hAnsi="Arial" w:cs="Arial"/>
                <w:color w:val="000000" w:themeColor="text1"/>
                <w:sz w:val="20"/>
                <w:szCs w:val="20"/>
                <w:lang w:val="it-IT" w:eastAsia="it-IT"/>
              </w:rPr>
            </w:pPr>
            <w:r w:rsidRPr="00B7109E">
              <w:rPr>
                <w:rFonts w:ascii="Arial" w:hAnsi="Arial" w:cs="Arial"/>
                <w:color w:val="000000" w:themeColor="text1"/>
                <w:sz w:val="20"/>
                <w:szCs w:val="20"/>
                <w:lang w:val="it-IT"/>
              </w:rPr>
              <w:t>Nel 2021, il tasso di utilizzo circolare dei materiali subisce una contrazione di 2,2 punti percentuali. L’Italia tuttavia si colloca al quarto posto della graduatoria europea.</w:t>
            </w:r>
          </w:p>
        </w:tc>
      </w:tr>
      <w:tr w:rsidR="00DA027B" w:rsidRPr="00231CD6" w14:paraId="791EF387" w14:textId="77777777" w:rsidTr="00582270">
        <w:tc>
          <w:tcPr>
            <w:tcW w:w="1926" w:type="dxa"/>
          </w:tcPr>
          <w:p w14:paraId="7289085B" w14:textId="77777777" w:rsidR="00DA027B" w:rsidRPr="00D40F1D" w:rsidRDefault="00DA027B" w:rsidP="00582270">
            <w:pPr>
              <w:pStyle w:val="StilePaola"/>
              <w:spacing w:line="240" w:lineRule="auto"/>
              <w:rPr>
                <w:rFonts w:ascii="Helvetica LT Std Cond" w:hAnsi="Helvetica LT Std Cond"/>
                <w:noProof/>
                <w:lang w:eastAsia="it-IT"/>
              </w:rPr>
            </w:pPr>
            <w:r w:rsidRPr="00D40F1D">
              <w:rPr>
                <w:rFonts w:ascii="Helvetica LT Std Cond" w:hAnsi="Helvetica LT Std Cond"/>
                <w:noProof/>
                <w:lang w:eastAsia="it-IT"/>
              </w:rPr>
              <w:drawing>
                <wp:anchor distT="0" distB="0" distL="114300" distR="114300" simplePos="0" relativeHeight="251671552" behindDoc="0" locked="0" layoutInCell="1" allowOverlap="1" wp14:anchorId="0C938026" wp14:editId="11A7E030">
                  <wp:simplePos x="0" y="0"/>
                  <wp:positionH relativeFrom="column">
                    <wp:posOffset>3175</wp:posOffset>
                  </wp:positionH>
                  <wp:positionV relativeFrom="paragraph">
                    <wp:posOffset>107950</wp:posOffset>
                  </wp:positionV>
                  <wp:extent cx="1080000" cy="1080000"/>
                  <wp:effectExtent l="0" t="0" r="6350" b="6350"/>
                  <wp:wrapSquare wrapText="bothSides"/>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13goal_I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tc>
        <w:tc>
          <w:tcPr>
            <w:tcW w:w="6567" w:type="dxa"/>
          </w:tcPr>
          <w:p w14:paraId="1F0C2ED7" w14:textId="2C40DE93" w:rsidR="004F07F6" w:rsidRPr="00B7109E" w:rsidRDefault="004F07F6" w:rsidP="0018237D">
            <w:pPr>
              <w:pStyle w:val="Paragrafoelenco"/>
              <w:numPr>
                <w:ilvl w:val="0"/>
                <w:numId w:val="22"/>
              </w:numPr>
              <w:ind w:left="369"/>
              <w:jc w:val="both"/>
              <w:rPr>
                <w:rFonts w:ascii="Arial" w:hAnsi="Arial" w:cs="Arial"/>
                <w:color w:val="000000" w:themeColor="text1"/>
                <w:sz w:val="20"/>
                <w:szCs w:val="20"/>
                <w:lang w:val="it-IT"/>
              </w:rPr>
            </w:pPr>
            <w:r w:rsidRPr="00B7109E">
              <w:rPr>
                <w:rFonts w:ascii="Arial" w:hAnsi="Arial" w:cs="Arial"/>
                <w:color w:val="000000" w:themeColor="text1"/>
                <w:sz w:val="20"/>
                <w:szCs w:val="20"/>
                <w:lang w:val="it-IT"/>
              </w:rPr>
              <w:t>Emissioni di gas serra - in forte calo, nel 2020, in Italia (-10,6%) e in Europa (-10,2%) - nel 2021 tornano a salire (+6,2%), per effetto della ripresa delle attività di produzione e della mobilità.</w:t>
            </w:r>
          </w:p>
          <w:p w14:paraId="316DA1E2" w14:textId="77777777" w:rsidR="004F07F6" w:rsidRPr="00B7109E" w:rsidRDefault="004F07F6" w:rsidP="0018237D">
            <w:pPr>
              <w:pStyle w:val="Paragrafoelenco"/>
              <w:numPr>
                <w:ilvl w:val="0"/>
                <w:numId w:val="22"/>
              </w:numPr>
              <w:ind w:left="369"/>
              <w:jc w:val="both"/>
              <w:rPr>
                <w:rFonts w:ascii="Arial" w:hAnsi="Arial" w:cs="Arial"/>
                <w:color w:val="000000" w:themeColor="text1"/>
                <w:sz w:val="20"/>
                <w:szCs w:val="20"/>
                <w:lang w:val="it-IT"/>
              </w:rPr>
            </w:pPr>
            <w:r w:rsidRPr="00B7109E">
              <w:rPr>
                <w:rFonts w:ascii="Arial" w:hAnsi="Arial" w:cs="Arial"/>
                <w:color w:val="000000" w:themeColor="text1"/>
                <w:sz w:val="20"/>
                <w:szCs w:val="20"/>
                <w:lang w:val="it-IT"/>
              </w:rPr>
              <w:t>Nel 2021, le emissioni delle attività produttive aumentano più intensamente di quelle delle famiglie (+6,4 contro +5,7%).</w:t>
            </w:r>
          </w:p>
          <w:p w14:paraId="55E82248" w14:textId="77777777" w:rsidR="004F07F6" w:rsidRPr="00B7109E" w:rsidRDefault="004F07F6" w:rsidP="0018237D">
            <w:pPr>
              <w:pStyle w:val="Paragrafoelenco"/>
              <w:numPr>
                <w:ilvl w:val="0"/>
                <w:numId w:val="22"/>
              </w:numPr>
              <w:ind w:left="369"/>
              <w:jc w:val="both"/>
              <w:rPr>
                <w:rStyle w:val="5yl5"/>
                <w:rFonts w:ascii="Arial" w:hAnsi="Arial" w:cs="Arial"/>
                <w:color w:val="000000" w:themeColor="text1"/>
                <w:sz w:val="20"/>
                <w:szCs w:val="20"/>
                <w:lang w:val="it-IT"/>
              </w:rPr>
            </w:pPr>
            <w:r w:rsidRPr="00B7109E">
              <w:rPr>
                <w:rFonts w:ascii="Arial" w:hAnsi="Arial" w:cs="Arial"/>
                <w:color w:val="000000" w:themeColor="text1"/>
                <w:sz w:val="20"/>
                <w:szCs w:val="20"/>
                <w:lang w:val="it-IT"/>
              </w:rPr>
              <w:t>Sempre più frequenti gli incendi forestali: tra il 2020 e il 2021, il numero degli incendi è aumentato del 23,1% e la superficie boschiva coinvolta è più che raddoppiata.</w:t>
            </w:r>
          </w:p>
          <w:p w14:paraId="0E128FAF" w14:textId="525A6346" w:rsidR="00DA027B" w:rsidRPr="00B7109E" w:rsidRDefault="004F07F6" w:rsidP="00215E71">
            <w:pPr>
              <w:pStyle w:val="Paragrafoelenco"/>
              <w:numPr>
                <w:ilvl w:val="0"/>
                <w:numId w:val="22"/>
              </w:numPr>
              <w:ind w:left="369"/>
              <w:jc w:val="both"/>
              <w:rPr>
                <w:rFonts w:ascii="Arial" w:eastAsia="Times New Roman" w:hAnsi="Arial" w:cs="Arial"/>
                <w:color w:val="000000" w:themeColor="text1"/>
                <w:sz w:val="20"/>
                <w:szCs w:val="20"/>
                <w:lang w:val="it-IT" w:eastAsia="it-IT"/>
              </w:rPr>
            </w:pPr>
            <w:r w:rsidRPr="00B7109E">
              <w:rPr>
                <w:rStyle w:val="5yl5"/>
                <w:rFonts w:ascii="Arial" w:hAnsi="Arial" w:cs="Arial"/>
                <w:color w:val="000000" w:themeColor="text1"/>
                <w:sz w:val="20"/>
                <w:szCs w:val="20"/>
                <w:lang w:val="it-IT"/>
              </w:rPr>
              <w:t xml:space="preserve">Nel 2022 il 71,0% delle persone di 14 anni e più colloca la preoccupazione per cambiamenti climatici </w:t>
            </w:r>
            <w:r w:rsidR="00215E71">
              <w:rPr>
                <w:rStyle w:val="5yl5"/>
                <w:rFonts w:ascii="Arial" w:hAnsi="Arial" w:cs="Arial"/>
                <w:color w:val="000000" w:themeColor="text1"/>
                <w:sz w:val="20"/>
                <w:szCs w:val="20"/>
                <w:lang w:val="it-IT"/>
              </w:rPr>
              <w:t xml:space="preserve">ed effetto serra </w:t>
            </w:r>
            <w:r w:rsidRPr="00B7109E">
              <w:rPr>
                <w:rStyle w:val="5yl5"/>
                <w:rFonts w:ascii="Arial" w:hAnsi="Arial" w:cs="Arial"/>
                <w:color w:val="000000" w:themeColor="text1"/>
                <w:sz w:val="20"/>
                <w:szCs w:val="20"/>
                <w:lang w:val="it-IT"/>
              </w:rPr>
              <w:t>tra le prime cinque preoccupazioni ambientali.</w:t>
            </w:r>
          </w:p>
        </w:tc>
      </w:tr>
      <w:tr w:rsidR="00DA027B" w:rsidRPr="00231CD6" w14:paraId="730FF850" w14:textId="77777777" w:rsidTr="00582270">
        <w:tc>
          <w:tcPr>
            <w:tcW w:w="1926" w:type="dxa"/>
          </w:tcPr>
          <w:p w14:paraId="337182C5" w14:textId="77777777" w:rsidR="00DA027B" w:rsidRPr="00D40F1D" w:rsidRDefault="00DA027B" w:rsidP="00582270">
            <w:pPr>
              <w:pStyle w:val="Titoloparagrafo"/>
              <w:spacing w:before="0" w:after="0"/>
              <w:rPr>
                <w:rFonts w:ascii="Helvetica LT Std Cond" w:hAnsi="Helvetica LT Std Cond"/>
                <w:noProof/>
                <w:sz w:val="24"/>
                <w:szCs w:val="24"/>
                <w:lang w:eastAsia="it-IT"/>
              </w:rPr>
            </w:pPr>
            <w:r w:rsidRPr="00D40F1D">
              <w:rPr>
                <w:rFonts w:ascii="Helvetica LT Std Cond" w:hAnsi="Helvetica LT Std Cond"/>
                <w:noProof/>
                <w:lang w:eastAsia="it-IT"/>
              </w:rPr>
              <w:drawing>
                <wp:anchor distT="0" distB="0" distL="114300" distR="114300" simplePos="0" relativeHeight="251672576" behindDoc="0" locked="0" layoutInCell="1" allowOverlap="1" wp14:anchorId="7050559F" wp14:editId="54F199D7">
                  <wp:simplePos x="0" y="0"/>
                  <wp:positionH relativeFrom="margin">
                    <wp:posOffset>-6350</wp:posOffset>
                  </wp:positionH>
                  <wp:positionV relativeFrom="paragraph">
                    <wp:posOffset>107950</wp:posOffset>
                  </wp:positionV>
                  <wp:extent cx="1080000" cy="1080000"/>
                  <wp:effectExtent l="0" t="0" r="6350" b="6350"/>
                  <wp:wrapSquare wrapText="bothSides"/>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14goal_I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tc>
        <w:tc>
          <w:tcPr>
            <w:tcW w:w="6567" w:type="dxa"/>
          </w:tcPr>
          <w:p w14:paraId="4BE13FC7" w14:textId="7EDCCBD5" w:rsidR="004F07F6" w:rsidRPr="00B7109E" w:rsidRDefault="004F07F6" w:rsidP="00081012">
            <w:pPr>
              <w:pStyle w:val="Paragrafoelenco"/>
              <w:widowControl/>
              <w:numPr>
                <w:ilvl w:val="0"/>
                <w:numId w:val="17"/>
              </w:numPr>
              <w:autoSpaceDE/>
              <w:autoSpaceDN/>
              <w:ind w:left="369"/>
              <w:jc w:val="both"/>
              <w:rPr>
                <w:rFonts w:ascii="Arial" w:hAnsi="Arial" w:cs="Arial"/>
                <w:color w:val="000000" w:themeColor="text1"/>
                <w:sz w:val="20"/>
                <w:szCs w:val="20"/>
                <w:lang w:val="it-IT"/>
              </w:rPr>
            </w:pPr>
            <w:r w:rsidRPr="00B7109E">
              <w:rPr>
                <w:rFonts w:ascii="Arial" w:hAnsi="Arial" w:cs="Arial"/>
                <w:color w:val="000000" w:themeColor="text1"/>
                <w:sz w:val="20"/>
                <w:szCs w:val="20"/>
                <w:lang w:val="it-IT"/>
              </w:rPr>
              <w:t xml:space="preserve">In diminuzione nel 2021 i rifiuti marini spiaggiati, pari a 273 ogni </w:t>
            </w:r>
            <w:r w:rsidR="003770A5">
              <w:rPr>
                <w:rFonts w:ascii="Arial" w:hAnsi="Arial" w:cs="Arial"/>
                <w:color w:val="000000" w:themeColor="text1"/>
                <w:sz w:val="20"/>
                <w:szCs w:val="20"/>
                <w:lang w:val="it-IT"/>
              </w:rPr>
              <w:t>100</w:t>
            </w:r>
            <w:r w:rsidRPr="00B7109E">
              <w:rPr>
                <w:rFonts w:ascii="Arial" w:hAnsi="Arial" w:cs="Arial"/>
                <w:color w:val="000000" w:themeColor="text1"/>
                <w:sz w:val="20"/>
                <w:szCs w:val="20"/>
                <w:lang w:val="it-IT"/>
              </w:rPr>
              <w:t xml:space="preserve"> metri di spiaggia, ma ancora lontani da quanto richiesto dalle raccomandazioni della Commissione Europea (20 rifiuti/100 m). </w:t>
            </w:r>
          </w:p>
          <w:p w14:paraId="1B5899A0" w14:textId="77777777" w:rsidR="004F07F6" w:rsidRPr="00B7109E" w:rsidRDefault="004F07F6" w:rsidP="00081012">
            <w:pPr>
              <w:pStyle w:val="Paragrafoelenco"/>
              <w:widowControl/>
              <w:numPr>
                <w:ilvl w:val="0"/>
                <w:numId w:val="17"/>
              </w:numPr>
              <w:autoSpaceDE/>
              <w:autoSpaceDN/>
              <w:ind w:left="369"/>
              <w:jc w:val="both"/>
              <w:rPr>
                <w:rFonts w:ascii="Arial" w:hAnsi="Arial" w:cs="Arial"/>
                <w:color w:val="000000" w:themeColor="text1"/>
                <w:sz w:val="20"/>
                <w:szCs w:val="20"/>
                <w:lang w:val="it-IT"/>
              </w:rPr>
            </w:pPr>
            <w:r w:rsidRPr="00B7109E">
              <w:rPr>
                <w:rFonts w:ascii="Arial" w:hAnsi="Arial" w:cs="Arial"/>
                <w:color w:val="000000" w:themeColor="text1"/>
                <w:sz w:val="20"/>
                <w:szCs w:val="20"/>
                <w:lang w:val="it-IT"/>
              </w:rPr>
              <w:t xml:space="preserve">Nel 2022, protetto dalla Rete Natura 2000 il 13,4% dell’area marina. </w:t>
            </w:r>
          </w:p>
          <w:p w14:paraId="310A4AEB" w14:textId="77777777" w:rsidR="004F07F6" w:rsidRPr="00B7109E" w:rsidRDefault="004F07F6" w:rsidP="00081012">
            <w:pPr>
              <w:pStyle w:val="Paragrafoelenco"/>
              <w:widowControl/>
              <w:numPr>
                <w:ilvl w:val="0"/>
                <w:numId w:val="17"/>
              </w:numPr>
              <w:autoSpaceDE/>
              <w:autoSpaceDN/>
              <w:ind w:left="369"/>
              <w:jc w:val="both"/>
              <w:rPr>
                <w:rFonts w:ascii="Arial" w:hAnsi="Arial" w:cs="Arial"/>
                <w:color w:val="000000" w:themeColor="text1"/>
                <w:sz w:val="20"/>
                <w:szCs w:val="20"/>
                <w:lang w:val="it-IT"/>
              </w:rPr>
            </w:pPr>
            <w:r w:rsidRPr="00B7109E">
              <w:rPr>
                <w:rFonts w:ascii="Arial" w:hAnsi="Arial" w:cs="Arial"/>
                <w:color w:val="000000" w:themeColor="text1"/>
                <w:sz w:val="20"/>
                <w:szCs w:val="20"/>
                <w:lang w:val="it-IT"/>
              </w:rPr>
              <w:t xml:space="preserve">Nel 2022, il 10,6% delle aree marine sono tutelate, in linea con il </w:t>
            </w:r>
            <w:r w:rsidRPr="00041E52">
              <w:rPr>
                <w:rFonts w:ascii="Arial" w:hAnsi="Arial" w:cs="Arial"/>
                <w:color w:val="000000" w:themeColor="text1"/>
                <w:sz w:val="20"/>
                <w:szCs w:val="20"/>
                <w:lang w:val="it-IT"/>
              </w:rPr>
              <w:t>target</w:t>
            </w:r>
            <w:r w:rsidRPr="00B7109E">
              <w:rPr>
                <w:rFonts w:ascii="Arial" w:hAnsi="Arial" w:cs="Arial"/>
                <w:color w:val="000000" w:themeColor="text1"/>
                <w:sz w:val="20"/>
                <w:szCs w:val="20"/>
                <w:lang w:val="it-IT"/>
              </w:rPr>
              <w:t xml:space="preserve"> </w:t>
            </w:r>
            <w:proofErr w:type="spellStart"/>
            <w:r w:rsidRPr="00B7109E">
              <w:rPr>
                <w:rFonts w:ascii="Arial" w:hAnsi="Arial" w:cs="Arial"/>
                <w:color w:val="000000" w:themeColor="text1"/>
                <w:sz w:val="20"/>
                <w:szCs w:val="20"/>
                <w:lang w:val="it-IT"/>
              </w:rPr>
              <w:t>SDGs</w:t>
            </w:r>
            <w:proofErr w:type="spellEnd"/>
            <w:r w:rsidRPr="00B7109E">
              <w:rPr>
                <w:rFonts w:ascii="Arial" w:hAnsi="Arial" w:cs="Arial"/>
                <w:color w:val="000000" w:themeColor="text1"/>
                <w:sz w:val="20"/>
                <w:szCs w:val="20"/>
                <w:lang w:val="it-IT"/>
              </w:rPr>
              <w:t xml:space="preserve"> 14.5 e con gli obiettivi della conservazione della biodiversità (</w:t>
            </w:r>
            <w:proofErr w:type="spellStart"/>
            <w:r w:rsidRPr="00B7109E">
              <w:rPr>
                <w:rFonts w:ascii="Arial" w:hAnsi="Arial" w:cs="Arial"/>
                <w:i/>
                <w:iCs/>
                <w:color w:val="000000" w:themeColor="text1"/>
                <w:sz w:val="20"/>
                <w:szCs w:val="20"/>
                <w:lang w:val="it-IT"/>
              </w:rPr>
              <w:t>Aichi</w:t>
            </w:r>
            <w:proofErr w:type="spellEnd"/>
            <w:r w:rsidRPr="00B7109E">
              <w:rPr>
                <w:rFonts w:ascii="Arial" w:hAnsi="Arial" w:cs="Arial"/>
                <w:i/>
                <w:iCs/>
                <w:color w:val="000000" w:themeColor="text1"/>
                <w:sz w:val="20"/>
                <w:szCs w:val="20"/>
                <w:lang w:val="it-IT"/>
              </w:rPr>
              <w:t xml:space="preserve"> Target on </w:t>
            </w:r>
            <w:proofErr w:type="spellStart"/>
            <w:r w:rsidRPr="00B7109E">
              <w:rPr>
                <w:rFonts w:ascii="Arial" w:hAnsi="Arial" w:cs="Arial"/>
                <w:i/>
                <w:iCs/>
                <w:color w:val="000000" w:themeColor="text1"/>
                <w:sz w:val="20"/>
                <w:szCs w:val="20"/>
                <w:lang w:val="it-IT"/>
              </w:rPr>
              <w:t>Biodiversity</w:t>
            </w:r>
            <w:proofErr w:type="spellEnd"/>
            <w:r w:rsidRPr="00B7109E">
              <w:rPr>
                <w:rFonts w:ascii="Arial" w:hAnsi="Arial" w:cs="Arial"/>
                <w:color w:val="000000" w:themeColor="text1"/>
                <w:sz w:val="20"/>
                <w:szCs w:val="20"/>
                <w:lang w:val="it-IT"/>
              </w:rPr>
              <w:t>).</w:t>
            </w:r>
          </w:p>
          <w:p w14:paraId="72E8F142" w14:textId="77777777" w:rsidR="004F07F6" w:rsidRPr="00B7109E" w:rsidRDefault="004F07F6" w:rsidP="00081012">
            <w:pPr>
              <w:pStyle w:val="Paragrafoelenco"/>
              <w:widowControl/>
              <w:numPr>
                <w:ilvl w:val="0"/>
                <w:numId w:val="17"/>
              </w:numPr>
              <w:autoSpaceDE/>
              <w:autoSpaceDN/>
              <w:ind w:left="369"/>
              <w:jc w:val="both"/>
              <w:rPr>
                <w:rFonts w:ascii="Arial" w:hAnsi="Arial" w:cs="Arial"/>
                <w:color w:val="000000" w:themeColor="text1"/>
                <w:sz w:val="20"/>
                <w:szCs w:val="20"/>
                <w:lang w:val="it-IT"/>
              </w:rPr>
            </w:pPr>
            <w:r w:rsidRPr="00B7109E">
              <w:rPr>
                <w:rFonts w:ascii="Arial" w:hAnsi="Arial" w:cs="Arial"/>
                <w:color w:val="000000" w:themeColor="text1"/>
                <w:sz w:val="20"/>
                <w:szCs w:val="20"/>
                <w:lang w:val="it-IT"/>
              </w:rPr>
              <w:t xml:space="preserve">Nel 2020, al limite della sostenibilità gli </w:t>
            </w:r>
            <w:r w:rsidRPr="00041E52">
              <w:rPr>
                <w:rFonts w:ascii="Arial" w:hAnsi="Arial" w:cs="Arial"/>
                <w:color w:val="000000" w:themeColor="text1"/>
                <w:sz w:val="20"/>
                <w:szCs w:val="20"/>
                <w:lang w:val="it-IT"/>
              </w:rPr>
              <w:t>stock</w:t>
            </w:r>
            <w:r w:rsidRPr="00B7109E">
              <w:rPr>
                <w:rFonts w:ascii="Arial" w:hAnsi="Arial" w:cs="Arial"/>
                <w:color w:val="000000" w:themeColor="text1"/>
                <w:sz w:val="20"/>
                <w:szCs w:val="20"/>
                <w:lang w:val="it-IT"/>
              </w:rPr>
              <w:t xml:space="preserve"> ittici (80,4%). Al tempo stesso, il pesce sbarcato soffre una consistente riduzione di attività: catture e ricavi diminuiscono di oltre il 25%. </w:t>
            </w:r>
          </w:p>
          <w:p w14:paraId="24B29BCE" w14:textId="0D7A255B" w:rsidR="00DA027B" w:rsidRPr="00B7109E" w:rsidRDefault="004F07F6" w:rsidP="00081012">
            <w:pPr>
              <w:pStyle w:val="Paragrafoelenco"/>
              <w:widowControl/>
              <w:numPr>
                <w:ilvl w:val="0"/>
                <w:numId w:val="17"/>
              </w:numPr>
              <w:autoSpaceDE/>
              <w:autoSpaceDN/>
              <w:spacing w:before="100"/>
              <w:ind w:left="369"/>
              <w:jc w:val="both"/>
              <w:rPr>
                <w:rFonts w:ascii="Arial" w:eastAsia="Times New Roman" w:hAnsi="Arial" w:cs="Arial"/>
                <w:color w:val="000000" w:themeColor="text1"/>
                <w:sz w:val="20"/>
                <w:szCs w:val="20"/>
                <w:lang w:val="it-IT" w:eastAsia="it-IT"/>
              </w:rPr>
            </w:pPr>
            <w:r w:rsidRPr="00B7109E">
              <w:rPr>
                <w:rFonts w:ascii="Arial" w:hAnsi="Arial" w:cs="Arial"/>
                <w:color w:val="000000" w:themeColor="text1"/>
                <w:sz w:val="20"/>
                <w:szCs w:val="20"/>
                <w:lang w:val="it-IT"/>
              </w:rPr>
              <w:t>Nel 2021, l’88,1% delle acque di balneazione è di qualità eccellente e il 97,4% rispetta gli standard minimi, previsti dalla Direttiva Ue sulla Balneazione.</w:t>
            </w:r>
          </w:p>
        </w:tc>
      </w:tr>
      <w:tr w:rsidR="00DA027B" w:rsidRPr="00231CD6" w14:paraId="66FA3048" w14:textId="77777777" w:rsidTr="00582270">
        <w:tc>
          <w:tcPr>
            <w:tcW w:w="1926" w:type="dxa"/>
          </w:tcPr>
          <w:p w14:paraId="46B60408" w14:textId="77777777" w:rsidR="00DA027B" w:rsidRPr="00D40F1D" w:rsidRDefault="00DA027B" w:rsidP="00582270">
            <w:pPr>
              <w:pStyle w:val="Titoloparagrafo"/>
              <w:spacing w:before="0" w:after="0"/>
              <w:rPr>
                <w:rFonts w:ascii="Helvetica LT Std Cond" w:hAnsi="Helvetica LT Std Cond"/>
                <w:noProof/>
                <w:lang w:eastAsia="it-IT"/>
              </w:rPr>
            </w:pPr>
            <w:r w:rsidRPr="00D40F1D">
              <w:rPr>
                <w:rFonts w:ascii="Helvetica LT Std Cond" w:hAnsi="Helvetica LT Std Cond"/>
                <w:noProof/>
                <w:sz w:val="24"/>
                <w:szCs w:val="24"/>
                <w:lang w:eastAsia="it-IT"/>
              </w:rPr>
              <w:lastRenderedPageBreak/>
              <w:drawing>
                <wp:anchor distT="0" distB="0" distL="114300" distR="114300" simplePos="0" relativeHeight="251673600" behindDoc="0" locked="0" layoutInCell="1" allowOverlap="1" wp14:anchorId="53A7A84B" wp14:editId="61F02142">
                  <wp:simplePos x="0" y="0"/>
                  <wp:positionH relativeFrom="column">
                    <wp:posOffset>3175</wp:posOffset>
                  </wp:positionH>
                  <wp:positionV relativeFrom="paragraph">
                    <wp:posOffset>107950</wp:posOffset>
                  </wp:positionV>
                  <wp:extent cx="1080000" cy="1080000"/>
                  <wp:effectExtent l="0" t="0" r="6350" b="6350"/>
                  <wp:wrapSquare wrapText="bothSides"/>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15goal_I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tc>
        <w:tc>
          <w:tcPr>
            <w:tcW w:w="6567" w:type="dxa"/>
          </w:tcPr>
          <w:p w14:paraId="65281A23" w14:textId="77777777" w:rsidR="004F07F6" w:rsidRPr="00B7109E" w:rsidRDefault="004F07F6" w:rsidP="00081012">
            <w:pPr>
              <w:pStyle w:val="Paragrafoelenco"/>
              <w:widowControl/>
              <w:numPr>
                <w:ilvl w:val="0"/>
                <w:numId w:val="13"/>
              </w:numPr>
              <w:adjustRightInd w:val="0"/>
              <w:ind w:left="369"/>
              <w:jc w:val="both"/>
              <w:rPr>
                <w:rFonts w:ascii="Arial" w:eastAsiaTheme="minorEastAsia" w:hAnsi="Arial" w:cs="Arial"/>
                <w:color w:val="000000" w:themeColor="text1"/>
                <w:sz w:val="20"/>
                <w:szCs w:val="20"/>
                <w:lang w:val="it-IT"/>
              </w:rPr>
            </w:pPr>
            <w:r w:rsidRPr="00B7109E">
              <w:rPr>
                <w:rFonts w:ascii="Arial" w:eastAsia="Times New Roman" w:hAnsi="Arial" w:cs="Arial"/>
                <w:bCs/>
                <w:color w:val="000000" w:themeColor="text1"/>
                <w:sz w:val="20"/>
                <w:szCs w:val="20"/>
                <w:lang w:val="it-IT"/>
              </w:rPr>
              <w:t>Nel 2022, le aree protette coprono il 21,7% del territorio nazionale e includono solo in parte (in media, per il 75,9%) le 172 Aree chiave per la biodiversità.</w:t>
            </w:r>
          </w:p>
          <w:p w14:paraId="4E7FA77A" w14:textId="77777777" w:rsidR="004F07F6" w:rsidRPr="00B7109E" w:rsidRDefault="004F07F6" w:rsidP="00081012">
            <w:pPr>
              <w:pStyle w:val="Paragrafoelenco"/>
              <w:widowControl/>
              <w:numPr>
                <w:ilvl w:val="0"/>
                <w:numId w:val="13"/>
              </w:numPr>
              <w:adjustRightInd w:val="0"/>
              <w:ind w:left="369"/>
              <w:jc w:val="both"/>
              <w:rPr>
                <w:rFonts w:ascii="Arial" w:eastAsiaTheme="minorEastAsia" w:hAnsi="Arial" w:cs="Arial"/>
                <w:color w:val="000000" w:themeColor="text1"/>
                <w:sz w:val="20"/>
                <w:szCs w:val="20"/>
                <w:lang w:val="it-IT"/>
              </w:rPr>
            </w:pPr>
            <w:r w:rsidRPr="00B7109E">
              <w:rPr>
                <w:rFonts w:ascii="Arial" w:eastAsiaTheme="minorEastAsia" w:hAnsi="Arial" w:cs="Arial"/>
                <w:color w:val="000000" w:themeColor="text1"/>
                <w:sz w:val="20"/>
                <w:szCs w:val="20"/>
                <w:lang w:val="it-IT"/>
              </w:rPr>
              <w:t>In calo la copertura vegetale delle aree montane (-0,3 p.p. fra 2012 e 2021, pari a circa 4.600 ettari l’anno). Le perdite si concentrano nelle Isole e nel Nord-ovest, soprattutto nella fascia sotto i 1.000 m s.l.m., più interessata dal consumo di suolo.</w:t>
            </w:r>
          </w:p>
          <w:p w14:paraId="1248C957" w14:textId="77777777" w:rsidR="004F07F6" w:rsidRPr="00B7109E" w:rsidRDefault="004F07F6" w:rsidP="00081012">
            <w:pPr>
              <w:pStyle w:val="Paragrafoelenco"/>
              <w:widowControl/>
              <w:numPr>
                <w:ilvl w:val="0"/>
                <w:numId w:val="13"/>
              </w:numPr>
              <w:adjustRightInd w:val="0"/>
              <w:ind w:left="369"/>
              <w:jc w:val="both"/>
              <w:rPr>
                <w:rFonts w:ascii="Arial" w:eastAsiaTheme="minorEastAsia" w:hAnsi="Arial" w:cs="Arial"/>
                <w:color w:val="000000" w:themeColor="text1"/>
                <w:sz w:val="20"/>
                <w:szCs w:val="20"/>
                <w:lang w:val="it-IT"/>
              </w:rPr>
            </w:pPr>
            <w:r w:rsidRPr="00B7109E">
              <w:rPr>
                <w:rFonts w:ascii="Arial" w:eastAsiaTheme="minorEastAsia" w:hAnsi="Arial" w:cs="Arial"/>
                <w:color w:val="000000" w:themeColor="text1"/>
                <w:sz w:val="20"/>
                <w:szCs w:val="20"/>
                <w:lang w:val="it-IT"/>
              </w:rPr>
              <w:t>Nel 2021, le superfici forestali certificate aumentano dello 0,8% (+18,8% dal 2011). Nonostante ciò, l’Italia resta tra i Paesi Ue dove la certificazione di sostenibilità è meno diffusa in rapporto all’estensione delle aree forestali.</w:t>
            </w:r>
          </w:p>
          <w:p w14:paraId="4FC58132" w14:textId="6A54B7E9" w:rsidR="00DA027B" w:rsidRPr="00B7109E" w:rsidRDefault="004F07F6" w:rsidP="00081012">
            <w:pPr>
              <w:pStyle w:val="Paragrafoelenco"/>
              <w:widowControl/>
              <w:numPr>
                <w:ilvl w:val="0"/>
                <w:numId w:val="13"/>
              </w:numPr>
              <w:adjustRightInd w:val="0"/>
              <w:ind w:left="369"/>
              <w:jc w:val="both"/>
              <w:rPr>
                <w:rFonts w:ascii="Arial" w:eastAsia="Times New Roman" w:hAnsi="Arial" w:cs="Arial"/>
                <w:color w:val="000000" w:themeColor="text1"/>
                <w:sz w:val="20"/>
                <w:szCs w:val="20"/>
                <w:lang w:val="it-IT" w:eastAsia="it-IT"/>
              </w:rPr>
            </w:pPr>
            <w:r w:rsidRPr="00B7109E">
              <w:rPr>
                <w:rFonts w:ascii="Arial" w:eastAsiaTheme="minorEastAsia" w:hAnsi="Arial" w:cs="Arial"/>
                <w:color w:val="000000" w:themeColor="text1"/>
                <w:sz w:val="20"/>
                <w:szCs w:val="20"/>
                <w:lang w:val="it-IT"/>
              </w:rPr>
              <w:t>La diffusione delle specie alloctone – una delle principali minacce per la biodiversità – mostra per la prima volta segnali di rallentamento: nel decennio 2012-2021 sono state individuate in media 11,5 nuove specie per anno, contro le 12,4 del decennio precedente.</w:t>
            </w:r>
          </w:p>
        </w:tc>
      </w:tr>
      <w:tr w:rsidR="00DA027B" w:rsidRPr="00231CD6" w14:paraId="3E844FD9" w14:textId="77777777" w:rsidTr="00582270">
        <w:tc>
          <w:tcPr>
            <w:tcW w:w="1926" w:type="dxa"/>
          </w:tcPr>
          <w:p w14:paraId="271B212F" w14:textId="77777777" w:rsidR="00DA027B" w:rsidRPr="00D40F1D" w:rsidRDefault="00DA027B" w:rsidP="00582270">
            <w:pPr>
              <w:pStyle w:val="Titoloparagrafo"/>
              <w:spacing w:before="0" w:after="0"/>
              <w:rPr>
                <w:rFonts w:ascii="Helvetica LT Std Cond" w:hAnsi="Helvetica LT Std Cond"/>
                <w:noProof/>
                <w:lang w:eastAsia="it-IT"/>
              </w:rPr>
            </w:pPr>
            <w:r w:rsidRPr="00D40F1D">
              <w:rPr>
                <w:rFonts w:ascii="Helvetica LT Std Cond" w:hAnsi="Helvetica LT Std Cond"/>
                <w:noProof/>
                <w:sz w:val="24"/>
                <w:szCs w:val="24"/>
                <w:lang w:eastAsia="it-IT"/>
              </w:rPr>
              <w:drawing>
                <wp:anchor distT="0" distB="0" distL="114300" distR="114300" simplePos="0" relativeHeight="251674624" behindDoc="0" locked="0" layoutInCell="1" allowOverlap="1" wp14:anchorId="5438BCEA" wp14:editId="1FB431FB">
                  <wp:simplePos x="0" y="0"/>
                  <wp:positionH relativeFrom="column">
                    <wp:posOffset>9525</wp:posOffset>
                  </wp:positionH>
                  <wp:positionV relativeFrom="paragraph">
                    <wp:posOffset>107950</wp:posOffset>
                  </wp:positionV>
                  <wp:extent cx="1080000" cy="1080000"/>
                  <wp:effectExtent l="0" t="0" r="6350" b="6350"/>
                  <wp:wrapSquare wrapText="bothSides"/>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16goal_I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tc>
        <w:tc>
          <w:tcPr>
            <w:tcW w:w="6567" w:type="dxa"/>
          </w:tcPr>
          <w:p w14:paraId="690CB616" w14:textId="77777777" w:rsidR="004F07F6" w:rsidRPr="00B7109E" w:rsidRDefault="004F07F6" w:rsidP="00081012">
            <w:pPr>
              <w:pStyle w:val="Paragrafoelenco"/>
              <w:numPr>
                <w:ilvl w:val="0"/>
                <w:numId w:val="23"/>
              </w:numPr>
              <w:adjustRightInd w:val="0"/>
              <w:ind w:left="369"/>
              <w:jc w:val="both"/>
              <w:rPr>
                <w:rFonts w:ascii="Arial" w:hAnsi="Arial" w:cs="Arial"/>
                <w:color w:val="000000" w:themeColor="text1"/>
                <w:sz w:val="20"/>
                <w:szCs w:val="20"/>
                <w:lang w:val="it-IT"/>
              </w:rPr>
            </w:pPr>
            <w:r w:rsidRPr="00B7109E">
              <w:rPr>
                <w:rFonts w:ascii="Arial" w:hAnsi="Arial" w:cs="Arial"/>
                <w:color w:val="000000" w:themeColor="text1"/>
                <w:sz w:val="20"/>
                <w:szCs w:val="20"/>
                <w:lang w:val="it-IT"/>
              </w:rPr>
              <w:t>Nel 2021 in Italia sono stati commessi 304 omicidi volontari, in marginale aumento rispetto al 2020, ma non rispetto al 2019.</w:t>
            </w:r>
          </w:p>
          <w:p w14:paraId="02A69195" w14:textId="77777777" w:rsidR="004F07F6" w:rsidRPr="00B7109E" w:rsidRDefault="004F07F6" w:rsidP="00081012">
            <w:pPr>
              <w:pStyle w:val="Paragrafoelenco"/>
              <w:widowControl/>
              <w:numPr>
                <w:ilvl w:val="0"/>
                <w:numId w:val="23"/>
              </w:numPr>
              <w:adjustRightInd w:val="0"/>
              <w:ind w:left="369"/>
              <w:jc w:val="both"/>
              <w:rPr>
                <w:rFonts w:ascii="Arial" w:hAnsi="Arial" w:cs="Arial"/>
                <w:color w:val="000000" w:themeColor="text1"/>
                <w:sz w:val="20"/>
                <w:szCs w:val="20"/>
                <w:lang w:val="it-IT"/>
              </w:rPr>
            </w:pPr>
            <w:r w:rsidRPr="00B7109E">
              <w:rPr>
                <w:rFonts w:ascii="Arial" w:hAnsi="Arial" w:cs="Arial"/>
                <w:color w:val="000000" w:themeColor="text1"/>
                <w:sz w:val="20"/>
                <w:szCs w:val="20"/>
                <w:lang w:val="it-IT"/>
              </w:rPr>
              <w:t xml:space="preserve">Nel 2022, </w:t>
            </w:r>
            <w:r w:rsidRPr="0069103C">
              <w:rPr>
                <w:rFonts w:ascii="Arial" w:hAnsi="Arial" w:cs="Arial"/>
                <w:color w:val="000000" w:themeColor="text1"/>
                <w:sz w:val="20"/>
                <w:szCs w:val="20"/>
                <w:lang w:val="it-IT"/>
              </w:rPr>
              <w:t>aumenta lievemente</w:t>
            </w:r>
            <w:r w:rsidRPr="00B7109E">
              <w:rPr>
                <w:rFonts w:ascii="Arial" w:hAnsi="Arial" w:cs="Arial"/>
                <w:color w:val="000000" w:themeColor="text1"/>
                <w:sz w:val="20"/>
                <w:szCs w:val="20"/>
                <w:lang w:val="it-IT"/>
              </w:rPr>
              <w:t xml:space="preserve"> l’affollamento nelle carceri italiane, raggiungendo i 110 detenuti per 100 posti disponibili.</w:t>
            </w:r>
          </w:p>
          <w:p w14:paraId="656EFEFC" w14:textId="77777777" w:rsidR="004F07F6" w:rsidRPr="00B7109E" w:rsidRDefault="004F07F6" w:rsidP="00081012">
            <w:pPr>
              <w:pStyle w:val="Paragrafoelenco"/>
              <w:widowControl/>
              <w:numPr>
                <w:ilvl w:val="0"/>
                <w:numId w:val="23"/>
              </w:numPr>
              <w:adjustRightInd w:val="0"/>
              <w:ind w:left="369"/>
              <w:jc w:val="both"/>
              <w:rPr>
                <w:rFonts w:ascii="Arial" w:hAnsi="Arial" w:cs="Arial"/>
                <w:color w:val="000000" w:themeColor="text1"/>
                <w:sz w:val="20"/>
                <w:szCs w:val="20"/>
                <w:lang w:val="it-IT"/>
              </w:rPr>
            </w:pPr>
            <w:r w:rsidRPr="00B7109E">
              <w:rPr>
                <w:rFonts w:ascii="Arial" w:hAnsi="Arial" w:cs="Arial"/>
                <w:color w:val="000000" w:themeColor="text1"/>
                <w:sz w:val="20"/>
                <w:szCs w:val="20"/>
                <w:lang w:val="it-IT"/>
              </w:rPr>
              <w:t xml:space="preserve">Nel 2022 diminuiscono i detenuti in attesa di primo giudizio: dal 15,8% al 15,1% del totale della popolazione carceraria. </w:t>
            </w:r>
          </w:p>
          <w:p w14:paraId="7F743429" w14:textId="77777777" w:rsidR="004F07F6" w:rsidRPr="00B7109E" w:rsidRDefault="004F07F6" w:rsidP="00081012">
            <w:pPr>
              <w:pStyle w:val="Paragrafoelenco"/>
              <w:numPr>
                <w:ilvl w:val="0"/>
                <w:numId w:val="23"/>
              </w:numPr>
              <w:ind w:left="369"/>
              <w:jc w:val="both"/>
              <w:rPr>
                <w:rFonts w:ascii="Arial" w:eastAsia="Times New Roman" w:hAnsi="Arial" w:cs="Arial"/>
                <w:color w:val="000000" w:themeColor="text1"/>
                <w:sz w:val="20"/>
                <w:szCs w:val="20"/>
                <w:lang w:val="it-IT" w:eastAsia="it-IT"/>
              </w:rPr>
            </w:pPr>
            <w:r w:rsidRPr="00B7109E">
              <w:rPr>
                <w:rFonts w:ascii="Arial" w:hAnsi="Arial" w:cs="Arial"/>
                <w:color w:val="000000" w:themeColor="text1"/>
                <w:sz w:val="20"/>
                <w:szCs w:val="20"/>
                <w:lang w:val="it-IT"/>
              </w:rPr>
              <w:t xml:space="preserve">Nel 2022, come già nell’anno precedente, la durata dei procedimenti civili dei tribunali ordinari aumenta di 7 giorni. </w:t>
            </w:r>
          </w:p>
          <w:p w14:paraId="56D4D88C" w14:textId="155022A6" w:rsidR="00DA027B" w:rsidRPr="00B7109E" w:rsidRDefault="004F07F6" w:rsidP="00081012">
            <w:pPr>
              <w:pStyle w:val="Paragrafoelenco"/>
              <w:numPr>
                <w:ilvl w:val="0"/>
                <w:numId w:val="23"/>
              </w:numPr>
              <w:ind w:left="369"/>
              <w:jc w:val="both"/>
              <w:rPr>
                <w:rFonts w:ascii="Arial" w:eastAsia="Times New Roman" w:hAnsi="Arial" w:cs="Arial"/>
                <w:color w:val="000000" w:themeColor="text1"/>
                <w:sz w:val="20"/>
                <w:szCs w:val="20"/>
                <w:lang w:val="it-IT" w:eastAsia="it-IT"/>
              </w:rPr>
            </w:pPr>
            <w:r w:rsidRPr="00B7109E">
              <w:rPr>
                <w:rFonts w:ascii="Arial" w:hAnsi="Arial" w:cs="Arial"/>
                <w:color w:val="000000" w:themeColor="text1"/>
                <w:sz w:val="20"/>
                <w:szCs w:val="20"/>
                <w:lang w:val="it-IT"/>
              </w:rPr>
              <w:t>Nel 2022, la fiducia nelle Forze dell’ordine e Vigili del fuoco diminuisce lievemente registrando un punteggio di 7,4, su 10. Stabile - ma bassa (4,8 su 10) - la fiducia nel sistema giudiziario.</w:t>
            </w:r>
          </w:p>
        </w:tc>
      </w:tr>
      <w:tr w:rsidR="00DA027B" w:rsidRPr="00A432A7" w14:paraId="10BCBBB1" w14:textId="77777777" w:rsidTr="00582270">
        <w:tc>
          <w:tcPr>
            <w:tcW w:w="1926" w:type="dxa"/>
          </w:tcPr>
          <w:p w14:paraId="74F7FB44" w14:textId="77777777" w:rsidR="00DA027B" w:rsidRPr="00D40F1D" w:rsidRDefault="00DA027B" w:rsidP="00582270">
            <w:pPr>
              <w:pStyle w:val="Titoloparagrafo"/>
              <w:spacing w:before="0" w:after="0"/>
              <w:rPr>
                <w:rFonts w:ascii="Helvetica LT Std Cond" w:hAnsi="Helvetica LT Std Cond"/>
                <w:noProof/>
                <w:lang w:eastAsia="it-IT"/>
              </w:rPr>
            </w:pPr>
            <w:r w:rsidRPr="00D40F1D">
              <w:rPr>
                <w:rFonts w:ascii="Helvetica LT Std Cond" w:hAnsi="Helvetica LT Std Cond"/>
                <w:noProof/>
                <w:lang w:eastAsia="it-IT"/>
              </w:rPr>
              <w:drawing>
                <wp:anchor distT="0" distB="0" distL="114300" distR="114300" simplePos="0" relativeHeight="251675648" behindDoc="0" locked="0" layoutInCell="1" allowOverlap="1" wp14:anchorId="5EEE1CE9" wp14:editId="6FD7EF5B">
                  <wp:simplePos x="0" y="0"/>
                  <wp:positionH relativeFrom="column">
                    <wp:posOffset>-6350</wp:posOffset>
                  </wp:positionH>
                  <wp:positionV relativeFrom="paragraph">
                    <wp:posOffset>107950</wp:posOffset>
                  </wp:positionV>
                  <wp:extent cx="1080000" cy="1080000"/>
                  <wp:effectExtent l="0" t="0" r="6350" b="6350"/>
                  <wp:wrapSquare wrapText="bothSides"/>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17goal_IT.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tc>
        <w:tc>
          <w:tcPr>
            <w:tcW w:w="6567" w:type="dxa"/>
          </w:tcPr>
          <w:p w14:paraId="66F666BA" w14:textId="0CE10EC8" w:rsidR="00081012" w:rsidRPr="00B7109E" w:rsidRDefault="00081012" w:rsidP="00081012">
            <w:pPr>
              <w:pStyle w:val="Corpotesto"/>
              <w:numPr>
                <w:ilvl w:val="0"/>
                <w:numId w:val="24"/>
              </w:numPr>
              <w:shd w:val="clear" w:color="auto" w:fill="FFFFFF"/>
              <w:spacing w:line="240" w:lineRule="auto"/>
              <w:ind w:left="369" w:hanging="357"/>
              <w:rPr>
                <w:rFonts w:ascii="Arial" w:hAnsi="Arial" w:cs="Arial"/>
                <w:color w:val="000000" w:themeColor="text1"/>
                <w:sz w:val="20"/>
                <w:szCs w:val="20"/>
                <w:lang w:val="it-IT"/>
              </w:rPr>
            </w:pPr>
            <w:r w:rsidRPr="00B7109E">
              <w:rPr>
                <w:rFonts w:ascii="Arial" w:hAnsi="Arial" w:cs="Arial"/>
                <w:color w:val="000000" w:themeColor="text1"/>
                <w:sz w:val="20"/>
                <w:szCs w:val="20"/>
                <w:lang w:val="it-IT"/>
              </w:rPr>
              <w:t>Nel 2022, l’Italia</w:t>
            </w:r>
            <w:r w:rsidRPr="00B7109E" w:rsidDel="00BD322E">
              <w:rPr>
                <w:rFonts w:ascii="Arial" w:hAnsi="Arial" w:cs="Arial"/>
                <w:color w:val="000000" w:themeColor="text1"/>
                <w:sz w:val="20"/>
                <w:szCs w:val="20"/>
                <w:lang w:val="it-IT"/>
              </w:rPr>
              <w:t xml:space="preserve"> </w:t>
            </w:r>
            <w:r w:rsidRPr="00B7109E">
              <w:rPr>
                <w:rFonts w:ascii="Arial" w:hAnsi="Arial" w:cs="Arial"/>
                <w:color w:val="000000" w:themeColor="text1"/>
                <w:sz w:val="20"/>
                <w:szCs w:val="20"/>
                <w:lang w:val="it-IT"/>
              </w:rPr>
              <w:t xml:space="preserve">è il terzo Paese dell’Unione Europea per entrate fiscali rispetto al Pil (oltre 2 punti percentuali sopra la media). Il rapporto tra le entrate fiscali delle Amministrazioni Pubbliche e il Pil rimane stabile, rispetto al 2021, al 43,5%. </w:t>
            </w:r>
          </w:p>
          <w:p w14:paraId="15CFD31A" w14:textId="77777777" w:rsidR="00081012" w:rsidRPr="00B7109E" w:rsidRDefault="00081012" w:rsidP="00081012">
            <w:pPr>
              <w:pStyle w:val="Corpotesto"/>
              <w:numPr>
                <w:ilvl w:val="0"/>
                <w:numId w:val="24"/>
              </w:numPr>
              <w:shd w:val="clear" w:color="auto" w:fill="FFFFFF"/>
              <w:spacing w:line="240" w:lineRule="auto"/>
              <w:ind w:left="369" w:hanging="357"/>
              <w:rPr>
                <w:rFonts w:ascii="Arial" w:hAnsi="Arial" w:cs="Arial"/>
                <w:color w:val="000000" w:themeColor="text1"/>
                <w:sz w:val="20"/>
                <w:szCs w:val="20"/>
                <w:lang w:val="it-IT"/>
              </w:rPr>
            </w:pPr>
            <w:r w:rsidRPr="00B7109E">
              <w:rPr>
                <w:rFonts w:ascii="Arial" w:hAnsi="Arial" w:cs="Arial"/>
                <w:color w:val="000000" w:themeColor="text1"/>
                <w:sz w:val="20"/>
                <w:szCs w:val="20"/>
                <w:lang w:val="it-IT"/>
              </w:rPr>
              <w:t>L’Aiuto Pubblico allo Sviluppo (in percentuale del reddito nazionale lordo) in Italia è cresciuto nel 2021, sia complessivamente (+0,7 p.p.), sia come quota destinata ai Paesi meno sviluppati (+0,2 p.p.).</w:t>
            </w:r>
          </w:p>
          <w:p w14:paraId="60E244A4" w14:textId="691C2ED2" w:rsidR="00081012" w:rsidRPr="00B7109E" w:rsidRDefault="00081012" w:rsidP="00081012">
            <w:pPr>
              <w:pStyle w:val="Corpotesto"/>
              <w:numPr>
                <w:ilvl w:val="0"/>
                <w:numId w:val="24"/>
              </w:numPr>
              <w:shd w:val="clear" w:color="auto" w:fill="FFFFFF"/>
              <w:spacing w:line="240" w:lineRule="auto"/>
              <w:ind w:left="369" w:hanging="357"/>
              <w:rPr>
                <w:rFonts w:ascii="Arial" w:hAnsi="Arial" w:cs="Arial"/>
                <w:color w:val="000000" w:themeColor="text1"/>
                <w:sz w:val="20"/>
                <w:szCs w:val="20"/>
                <w:lang w:val="it-IT"/>
              </w:rPr>
            </w:pPr>
            <w:r w:rsidRPr="00B7109E">
              <w:rPr>
                <w:rFonts w:ascii="Arial" w:hAnsi="Arial" w:cs="Arial"/>
                <w:color w:val="000000" w:themeColor="text1"/>
                <w:sz w:val="20"/>
                <w:szCs w:val="20"/>
                <w:lang w:val="it-IT"/>
              </w:rPr>
              <w:t xml:space="preserve">Nel 2022, le rimesse verso l’estero superano per la prima volta gli </w:t>
            </w:r>
            <w:r w:rsidR="00525563">
              <w:rPr>
                <w:rFonts w:ascii="Arial" w:hAnsi="Arial" w:cs="Arial"/>
                <w:color w:val="000000" w:themeColor="text1"/>
                <w:sz w:val="20"/>
                <w:szCs w:val="20"/>
                <w:lang w:val="it-IT"/>
              </w:rPr>
              <w:br/>
            </w:r>
            <w:r w:rsidRPr="00B7109E">
              <w:rPr>
                <w:rFonts w:ascii="Arial" w:hAnsi="Arial" w:cs="Arial"/>
                <w:color w:val="000000" w:themeColor="text1"/>
                <w:sz w:val="20"/>
                <w:szCs w:val="20"/>
                <w:lang w:val="it-IT"/>
              </w:rPr>
              <w:t>8 miliardi di euro, con un incremento del 6,1% rispetto al 2021.</w:t>
            </w:r>
          </w:p>
          <w:p w14:paraId="63702A42" w14:textId="77777777" w:rsidR="00081012" w:rsidRPr="00B7109E" w:rsidRDefault="00081012" w:rsidP="00081012">
            <w:pPr>
              <w:pStyle w:val="Corpotesto"/>
              <w:numPr>
                <w:ilvl w:val="0"/>
                <w:numId w:val="24"/>
              </w:numPr>
              <w:shd w:val="clear" w:color="auto" w:fill="FFFFFF"/>
              <w:spacing w:line="240" w:lineRule="auto"/>
              <w:ind w:left="369"/>
              <w:rPr>
                <w:rFonts w:ascii="Arial" w:hAnsi="Arial" w:cs="Arial"/>
                <w:color w:val="000000" w:themeColor="text1"/>
                <w:sz w:val="20"/>
                <w:szCs w:val="20"/>
                <w:lang w:val="it-IT"/>
              </w:rPr>
            </w:pPr>
            <w:r w:rsidRPr="00B7109E">
              <w:rPr>
                <w:rFonts w:ascii="Arial" w:hAnsi="Arial" w:cs="Arial"/>
                <w:color w:val="000000" w:themeColor="text1"/>
                <w:sz w:val="20"/>
                <w:szCs w:val="20"/>
                <w:lang w:val="it-IT"/>
              </w:rPr>
              <w:t>Sempre più italiani utilizzano Internet (nel 2022 sono stati il 77,5%, mentre nel 2021 erano il 74,9%). Restano tuttavia ampi i divari territoriali, di genere e, soprattutto, tra livelli di istruzione.</w:t>
            </w:r>
          </w:p>
          <w:p w14:paraId="686F4BD3" w14:textId="0E6A05C9" w:rsidR="00DA027B" w:rsidRPr="00B7109E" w:rsidRDefault="00081012" w:rsidP="00081012">
            <w:pPr>
              <w:pStyle w:val="Corpotesto"/>
              <w:numPr>
                <w:ilvl w:val="0"/>
                <w:numId w:val="24"/>
              </w:numPr>
              <w:shd w:val="clear" w:color="auto" w:fill="FFFFFF"/>
              <w:spacing w:line="240" w:lineRule="auto"/>
              <w:ind w:left="369" w:hanging="357"/>
              <w:rPr>
                <w:rFonts w:ascii="Arial" w:eastAsia="Times New Roman" w:hAnsi="Arial" w:cs="Arial"/>
                <w:color w:val="000000" w:themeColor="text1"/>
                <w:sz w:val="20"/>
                <w:szCs w:val="20"/>
                <w:lang w:val="it-IT" w:eastAsia="it-IT"/>
              </w:rPr>
            </w:pPr>
            <w:r w:rsidRPr="00B7109E">
              <w:rPr>
                <w:rFonts w:ascii="Arial" w:hAnsi="Arial" w:cs="Arial"/>
                <w:color w:val="000000" w:themeColor="text1"/>
                <w:sz w:val="20"/>
                <w:szCs w:val="20"/>
                <w:lang w:val="it-IT"/>
              </w:rPr>
              <w:t>Nel 2022, il commercio elettronico è in calo: hanno acquistato beni o servizi su Internet</w:t>
            </w:r>
            <w:r w:rsidRPr="00B7109E" w:rsidDel="00A235D2">
              <w:rPr>
                <w:rFonts w:ascii="Arial" w:hAnsi="Arial" w:cs="Arial"/>
                <w:color w:val="000000" w:themeColor="text1"/>
                <w:sz w:val="20"/>
                <w:szCs w:val="20"/>
                <w:lang w:val="it-IT"/>
              </w:rPr>
              <w:t xml:space="preserve"> </w:t>
            </w:r>
            <w:r w:rsidRPr="00B7109E">
              <w:rPr>
                <w:rFonts w:ascii="Arial" w:hAnsi="Arial" w:cs="Arial"/>
                <w:color w:val="000000" w:themeColor="text1"/>
                <w:sz w:val="20"/>
                <w:szCs w:val="20"/>
                <w:lang w:val="it-IT"/>
              </w:rPr>
              <w:t>37 persone su 100 (40 nel 2021), ma l’</w:t>
            </w:r>
            <w:r w:rsidRPr="00B7109E">
              <w:rPr>
                <w:rFonts w:ascii="Arial" w:hAnsi="Arial" w:cs="Arial"/>
                <w:i/>
                <w:color w:val="000000" w:themeColor="text1"/>
                <w:sz w:val="20"/>
                <w:szCs w:val="20"/>
                <w:lang w:val="it-IT"/>
              </w:rPr>
              <w:t xml:space="preserve">E-banking </w:t>
            </w:r>
            <w:r w:rsidRPr="00B7109E">
              <w:rPr>
                <w:rFonts w:ascii="Arial" w:hAnsi="Arial" w:cs="Arial"/>
                <w:color w:val="000000" w:themeColor="text1"/>
                <w:sz w:val="20"/>
                <w:szCs w:val="20"/>
                <w:lang w:val="it-IT"/>
              </w:rPr>
              <w:t>si diffonde rapidamente (quasi la metà degli utenti di Internet effettua operazioni bancarie on line).</w:t>
            </w:r>
          </w:p>
        </w:tc>
      </w:tr>
    </w:tbl>
    <w:p w14:paraId="118F6D0E" w14:textId="761E4FBF" w:rsidR="001626ED" w:rsidRDefault="001626ED" w:rsidP="001626ED">
      <w:pPr>
        <w:spacing w:after="120" w:line="240" w:lineRule="auto"/>
        <w:jc w:val="both"/>
        <w:rPr>
          <w:rFonts w:ascii="Arial" w:eastAsia="Times New Roman" w:hAnsi="Arial" w:cs="Arial"/>
          <w:b/>
          <w:bCs/>
          <w:iCs/>
          <w:color w:val="289AD1"/>
          <w:sz w:val="28"/>
          <w:szCs w:val="28"/>
        </w:rPr>
      </w:pPr>
    </w:p>
    <w:p w14:paraId="03E6475B" w14:textId="42062FF7" w:rsidR="00452A20" w:rsidRDefault="00452A20" w:rsidP="001626ED">
      <w:pPr>
        <w:spacing w:after="120" w:line="240" w:lineRule="auto"/>
        <w:jc w:val="both"/>
        <w:rPr>
          <w:rFonts w:ascii="Arial" w:eastAsia="Times New Roman" w:hAnsi="Arial" w:cs="Arial"/>
          <w:b/>
          <w:bCs/>
          <w:iCs/>
          <w:color w:val="289AD1"/>
          <w:sz w:val="28"/>
          <w:szCs w:val="28"/>
        </w:rPr>
      </w:pPr>
    </w:p>
    <w:p w14:paraId="351EB8CE" w14:textId="0F497EBA" w:rsidR="001626ED" w:rsidRDefault="001626ED" w:rsidP="001B7A31">
      <w:pPr>
        <w:spacing w:after="120" w:line="240" w:lineRule="auto"/>
        <w:jc w:val="both"/>
        <w:rPr>
          <w:rFonts w:ascii="Arial" w:eastAsia="Times New Roman" w:hAnsi="Arial" w:cs="Arial"/>
          <w:b/>
          <w:bCs/>
          <w:iCs/>
          <w:color w:val="289AD1"/>
          <w:sz w:val="28"/>
          <w:szCs w:val="28"/>
        </w:rPr>
      </w:pPr>
      <w:r w:rsidRPr="00AA4290">
        <w:rPr>
          <w:rFonts w:ascii="Arial" w:eastAsia="Times New Roman" w:hAnsi="Arial" w:cs="Arial"/>
          <w:b/>
          <w:bCs/>
          <w:iCs/>
          <w:color w:val="289AD1"/>
          <w:sz w:val="28"/>
          <w:szCs w:val="28"/>
        </w:rPr>
        <w:t>Le misure Istat-</w:t>
      </w:r>
      <w:proofErr w:type="spellStart"/>
      <w:r w:rsidRPr="00AA4290">
        <w:rPr>
          <w:rFonts w:ascii="Arial" w:eastAsia="Times New Roman" w:hAnsi="Arial" w:cs="Arial"/>
          <w:b/>
          <w:bCs/>
          <w:iCs/>
          <w:color w:val="289AD1"/>
          <w:sz w:val="28"/>
          <w:szCs w:val="28"/>
        </w:rPr>
        <w:t>SDGs</w:t>
      </w:r>
      <w:proofErr w:type="spellEnd"/>
      <w:r w:rsidRPr="00AA4290">
        <w:rPr>
          <w:rFonts w:ascii="Arial" w:eastAsia="Times New Roman" w:hAnsi="Arial" w:cs="Arial"/>
          <w:b/>
          <w:bCs/>
          <w:iCs/>
          <w:color w:val="289AD1"/>
          <w:sz w:val="28"/>
          <w:szCs w:val="28"/>
        </w:rPr>
        <w:t xml:space="preserve"> per l’analisi delle disuguaglianze territoriali </w:t>
      </w:r>
    </w:p>
    <w:p w14:paraId="03095F83" w14:textId="11A2CECE" w:rsidR="001626ED" w:rsidRPr="00DA027B" w:rsidRDefault="001626ED" w:rsidP="00041E52">
      <w:pPr>
        <w:spacing w:after="120"/>
        <w:jc w:val="both"/>
        <w:rPr>
          <w:rFonts w:ascii="Arial" w:eastAsia="Times New Roman" w:hAnsi="Arial" w:cs="Arial"/>
          <w:sz w:val="20"/>
          <w:szCs w:val="20"/>
        </w:rPr>
      </w:pPr>
      <w:r w:rsidRPr="00902762">
        <w:rPr>
          <w:rFonts w:ascii="Arial" w:eastAsia="Times New Roman" w:hAnsi="Arial" w:cs="Arial"/>
          <w:sz w:val="20"/>
          <w:szCs w:val="20"/>
        </w:rPr>
        <w:t xml:space="preserve">L’Agenda 2030 coniuga il raggiungimento degli </w:t>
      </w:r>
      <w:proofErr w:type="spellStart"/>
      <w:r w:rsidRPr="00902762">
        <w:rPr>
          <w:rFonts w:ascii="Arial" w:eastAsia="Times New Roman" w:hAnsi="Arial" w:cs="Arial"/>
          <w:sz w:val="20"/>
          <w:szCs w:val="20"/>
        </w:rPr>
        <w:t>SDGs</w:t>
      </w:r>
      <w:proofErr w:type="spellEnd"/>
      <w:r w:rsidRPr="00902762">
        <w:rPr>
          <w:rFonts w:ascii="Arial" w:eastAsia="Times New Roman" w:hAnsi="Arial" w:cs="Arial"/>
          <w:sz w:val="20"/>
          <w:szCs w:val="20"/>
        </w:rPr>
        <w:t xml:space="preserve"> all’impegno nel perseguimento di un irrinunciabile principio di equità: “nell’intraprendere questo grande viaggio collettivo, promettiamo che nessuno verrà lasciato indietro”. </w:t>
      </w:r>
      <w:r w:rsidRPr="00DA027B">
        <w:rPr>
          <w:rFonts w:ascii="Arial" w:eastAsia="Times New Roman" w:hAnsi="Arial" w:cs="Arial"/>
          <w:sz w:val="20"/>
          <w:szCs w:val="20"/>
        </w:rPr>
        <w:t>Il sistema Istat-</w:t>
      </w:r>
      <w:proofErr w:type="spellStart"/>
      <w:r w:rsidRPr="00DA027B">
        <w:rPr>
          <w:rFonts w:ascii="Arial" w:eastAsia="Times New Roman" w:hAnsi="Arial" w:cs="Arial"/>
          <w:sz w:val="20"/>
          <w:szCs w:val="20"/>
        </w:rPr>
        <w:t>SDGs</w:t>
      </w:r>
      <w:proofErr w:type="spellEnd"/>
      <w:r w:rsidRPr="00DA027B">
        <w:rPr>
          <w:rFonts w:ascii="Arial" w:eastAsia="Times New Roman" w:hAnsi="Arial" w:cs="Arial"/>
          <w:sz w:val="20"/>
          <w:szCs w:val="20"/>
        </w:rPr>
        <w:t xml:space="preserve"> può oggi contare su un ricco patrimonio informativo per l’analisi delle disuguaglianze nei domini sociale, economico e ambientale dello sviluppo sostenibile</w:t>
      </w:r>
      <w:r w:rsidR="001C2F51">
        <w:rPr>
          <w:rFonts w:ascii="Arial" w:eastAsia="Times New Roman" w:hAnsi="Arial" w:cs="Arial"/>
          <w:sz w:val="20"/>
          <w:szCs w:val="20"/>
        </w:rPr>
        <w:t xml:space="preserve">, che consente di concentrarsi </w:t>
      </w:r>
      <w:r>
        <w:rPr>
          <w:rFonts w:ascii="Arial" w:eastAsia="Times New Roman" w:hAnsi="Arial" w:cs="Arial"/>
          <w:sz w:val="20"/>
          <w:szCs w:val="20"/>
        </w:rPr>
        <w:t>sull’evoluzione nel tempo delle disparità territoriali (in particolare delle regioni e Province autonome)</w:t>
      </w:r>
      <w:r w:rsidR="001C2F51">
        <w:rPr>
          <w:rFonts w:ascii="Arial" w:eastAsia="Times New Roman" w:hAnsi="Arial" w:cs="Arial"/>
          <w:sz w:val="20"/>
          <w:szCs w:val="20"/>
        </w:rPr>
        <w:t xml:space="preserve">, </w:t>
      </w:r>
      <w:r w:rsidRPr="00DA027B">
        <w:rPr>
          <w:rFonts w:ascii="Arial" w:eastAsia="Times New Roman" w:hAnsi="Arial" w:cs="Arial"/>
          <w:sz w:val="20"/>
          <w:szCs w:val="20"/>
        </w:rPr>
        <w:t>propone</w:t>
      </w:r>
      <w:r>
        <w:rPr>
          <w:rFonts w:ascii="Arial" w:eastAsia="Times New Roman" w:hAnsi="Arial" w:cs="Arial"/>
          <w:sz w:val="20"/>
          <w:szCs w:val="20"/>
        </w:rPr>
        <w:t>ndo</w:t>
      </w:r>
      <w:r w:rsidRPr="00DA027B">
        <w:rPr>
          <w:rFonts w:ascii="Arial" w:eastAsia="Times New Roman" w:hAnsi="Arial" w:cs="Arial"/>
          <w:sz w:val="20"/>
          <w:szCs w:val="20"/>
        </w:rPr>
        <w:t xml:space="preserve"> un approccio </w:t>
      </w:r>
      <w:r>
        <w:rPr>
          <w:rFonts w:ascii="Arial" w:eastAsia="Times New Roman" w:hAnsi="Arial" w:cs="Arial"/>
          <w:sz w:val="20"/>
          <w:szCs w:val="20"/>
        </w:rPr>
        <w:t xml:space="preserve">di analisi </w:t>
      </w:r>
      <w:r w:rsidRPr="00DA027B">
        <w:rPr>
          <w:rFonts w:ascii="Arial" w:eastAsia="Times New Roman" w:hAnsi="Arial" w:cs="Arial"/>
          <w:sz w:val="20"/>
          <w:szCs w:val="20"/>
        </w:rPr>
        <w:t>multidimensionale</w:t>
      </w:r>
      <w:r w:rsidRPr="00902762">
        <w:rPr>
          <w:rFonts w:ascii="Arial" w:eastAsia="Times New Roman" w:hAnsi="Arial" w:cs="Arial"/>
          <w:sz w:val="20"/>
          <w:szCs w:val="20"/>
        </w:rPr>
        <w:t xml:space="preserve">. </w:t>
      </w:r>
    </w:p>
    <w:p w14:paraId="22888BEF" w14:textId="7F382F36" w:rsidR="001626ED" w:rsidRDefault="001626ED" w:rsidP="00D63E81">
      <w:pPr>
        <w:spacing w:after="120"/>
        <w:jc w:val="both"/>
        <w:rPr>
          <w:rFonts w:ascii="Arial" w:hAnsi="Arial" w:cs="Arial"/>
          <w:sz w:val="20"/>
          <w:szCs w:val="20"/>
        </w:rPr>
      </w:pPr>
      <w:r>
        <w:rPr>
          <w:rFonts w:ascii="Arial" w:hAnsi="Arial" w:cs="Arial"/>
          <w:sz w:val="20"/>
          <w:szCs w:val="20"/>
        </w:rPr>
        <w:t>P</w:t>
      </w:r>
      <w:r w:rsidRPr="00902762">
        <w:rPr>
          <w:rFonts w:ascii="Arial" w:hAnsi="Arial" w:cs="Arial"/>
          <w:sz w:val="20"/>
          <w:szCs w:val="20"/>
        </w:rPr>
        <w:t>er 152 misure Istat-</w:t>
      </w:r>
      <w:proofErr w:type="spellStart"/>
      <w:r w:rsidRPr="00902762">
        <w:rPr>
          <w:rFonts w:ascii="Arial" w:hAnsi="Arial" w:cs="Arial"/>
          <w:sz w:val="20"/>
          <w:szCs w:val="20"/>
        </w:rPr>
        <w:t>SDGs</w:t>
      </w:r>
      <w:proofErr w:type="spellEnd"/>
      <w:r>
        <w:rPr>
          <w:rFonts w:ascii="Arial" w:hAnsi="Arial" w:cs="Arial"/>
          <w:sz w:val="20"/>
          <w:szCs w:val="20"/>
        </w:rPr>
        <w:t>, disponibili a livello regionale,</w:t>
      </w:r>
      <w:r w:rsidRPr="00902762">
        <w:rPr>
          <w:rFonts w:ascii="Arial" w:hAnsi="Arial" w:cs="Arial"/>
          <w:sz w:val="20"/>
          <w:szCs w:val="20"/>
        </w:rPr>
        <w:t xml:space="preserve"> </w:t>
      </w:r>
      <w:r>
        <w:rPr>
          <w:rFonts w:ascii="Arial" w:hAnsi="Arial" w:cs="Arial"/>
          <w:sz w:val="20"/>
          <w:szCs w:val="20"/>
        </w:rPr>
        <w:t xml:space="preserve">è stata stimata una distanza, </w:t>
      </w:r>
      <w:r w:rsidRPr="00902762">
        <w:rPr>
          <w:rFonts w:ascii="Arial" w:hAnsi="Arial" w:cs="Arial"/>
          <w:sz w:val="20"/>
          <w:szCs w:val="20"/>
        </w:rPr>
        <w:t>calcolata per ciascuna regione</w:t>
      </w:r>
      <w:r>
        <w:rPr>
          <w:rFonts w:ascii="Arial" w:hAnsi="Arial" w:cs="Arial"/>
          <w:sz w:val="20"/>
          <w:szCs w:val="20"/>
        </w:rPr>
        <w:t xml:space="preserve"> e per ciascun anno, </w:t>
      </w:r>
      <w:r w:rsidRPr="00902762">
        <w:rPr>
          <w:rFonts w:ascii="Arial" w:hAnsi="Arial" w:cs="Arial"/>
          <w:sz w:val="20"/>
          <w:szCs w:val="20"/>
        </w:rPr>
        <w:t xml:space="preserve">dalla cosiddetta </w:t>
      </w:r>
      <w:r w:rsidRPr="00C574AA">
        <w:rPr>
          <w:rFonts w:ascii="Arial" w:hAnsi="Arial" w:cs="Arial"/>
          <w:i/>
          <w:sz w:val="20"/>
          <w:szCs w:val="20"/>
        </w:rPr>
        <w:t>best performance</w:t>
      </w:r>
      <w:r w:rsidRPr="00902762">
        <w:rPr>
          <w:rFonts w:ascii="Arial" w:hAnsi="Arial" w:cs="Arial"/>
          <w:sz w:val="20"/>
          <w:szCs w:val="20"/>
        </w:rPr>
        <w:t xml:space="preserve">, intesa come il migliore risultato raggiunto da una o più regioni/Province Autonome, dal 2010 </w:t>
      </w:r>
      <w:r>
        <w:rPr>
          <w:rFonts w:ascii="Arial" w:hAnsi="Arial" w:cs="Arial"/>
          <w:sz w:val="20"/>
          <w:szCs w:val="20"/>
        </w:rPr>
        <w:t>ad</w:t>
      </w:r>
      <w:r w:rsidRPr="00902762">
        <w:rPr>
          <w:rFonts w:ascii="Arial" w:hAnsi="Arial" w:cs="Arial"/>
          <w:sz w:val="20"/>
          <w:szCs w:val="20"/>
        </w:rPr>
        <w:t xml:space="preserve"> oggi. Le distanze </w:t>
      </w:r>
      <w:r>
        <w:rPr>
          <w:rFonts w:ascii="Arial" w:hAnsi="Arial" w:cs="Arial"/>
          <w:sz w:val="20"/>
          <w:szCs w:val="20"/>
        </w:rPr>
        <w:t xml:space="preserve">così </w:t>
      </w:r>
      <w:r w:rsidRPr="00902762">
        <w:rPr>
          <w:rFonts w:ascii="Arial" w:hAnsi="Arial" w:cs="Arial"/>
          <w:sz w:val="20"/>
          <w:szCs w:val="20"/>
        </w:rPr>
        <w:t>calcolate</w:t>
      </w:r>
      <w:r>
        <w:rPr>
          <w:rFonts w:ascii="Arial" w:hAnsi="Arial" w:cs="Arial"/>
          <w:sz w:val="20"/>
          <w:szCs w:val="20"/>
        </w:rPr>
        <w:t xml:space="preserve"> sono state sintetizzate per </w:t>
      </w:r>
      <w:r w:rsidRPr="00D63E81">
        <w:rPr>
          <w:rFonts w:ascii="Arial" w:eastAsia="Times New Roman" w:hAnsi="Arial" w:cs="Arial"/>
          <w:sz w:val="20"/>
          <w:szCs w:val="20"/>
          <w:lang w:eastAsia="it-IT"/>
        </w:rPr>
        <w:lastRenderedPageBreak/>
        <w:t>Goal</w:t>
      </w:r>
      <w:r>
        <w:rPr>
          <w:rFonts w:ascii="Arial" w:hAnsi="Arial" w:cs="Arial"/>
          <w:sz w:val="20"/>
          <w:szCs w:val="20"/>
        </w:rPr>
        <w:t xml:space="preserve">. Il </w:t>
      </w:r>
      <w:r w:rsidRPr="00902762">
        <w:rPr>
          <w:rFonts w:ascii="Arial" w:hAnsi="Arial" w:cs="Arial"/>
          <w:sz w:val="20"/>
          <w:szCs w:val="20"/>
        </w:rPr>
        <w:t xml:space="preserve">dettaglio dell’evoluzione nel tempo di ogni regione in ogni </w:t>
      </w:r>
      <w:r w:rsidRPr="00D63E81">
        <w:rPr>
          <w:rFonts w:ascii="Arial" w:eastAsia="Times New Roman" w:hAnsi="Arial" w:cs="Arial"/>
          <w:sz w:val="20"/>
          <w:szCs w:val="20"/>
          <w:lang w:eastAsia="it-IT"/>
        </w:rPr>
        <w:t>Goal</w:t>
      </w:r>
      <w:r w:rsidRPr="00902762">
        <w:rPr>
          <w:rFonts w:ascii="Arial" w:hAnsi="Arial" w:cs="Arial"/>
          <w:sz w:val="20"/>
          <w:szCs w:val="20"/>
        </w:rPr>
        <w:t xml:space="preserve"> rispetto alla </w:t>
      </w:r>
      <w:r w:rsidRPr="00C574AA">
        <w:rPr>
          <w:rFonts w:ascii="Arial" w:hAnsi="Arial" w:cs="Arial"/>
          <w:i/>
          <w:sz w:val="20"/>
          <w:szCs w:val="20"/>
        </w:rPr>
        <w:t>best performance</w:t>
      </w:r>
      <w:r w:rsidRPr="00902762">
        <w:rPr>
          <w:rFonts w:ascii="Arial" w:hAnsi="Arial" w:cs="Arial"/>
          <w:sz w:val="20"/>
          <w:szCs w:val="20"/>
        </w:rPr>
        <w:t xml:space="preserve"> è riportato nelle Figure</w:t>
      </w:r>
      <w:r>
        <w:rPr>
          <w:rFonts w:ascii="Arial" w:hAnsi="Arial" w:cs="Arial"/>
          <w:sz w:val="20"/>
          <w:szCs w:val="20"/>
        </w:rPr>
        <w:t xml:space="preserve"> che seguono. </w:t>
      </w:r>
      <w:r w:rsidRPr="00C574AA">
        <w:rPr>
          <w:rFonts w:ascii="Arial" w:hAnsi="Arial" w:cs="Arial"/>
          <w:sz w:val="20"/>
          <w:szCs w:val="20"/>
        </w:rPr>
        <w:t xml:space="preserve">Per ogni </w:t>
      </w:r>
      <w:r w:rsidRPr="00D63E81">
        <w:rPr>
          <w:rFonts w:ascii="Arial" w:eastAsia="Times New Roman" w:hAnsi="Arial" w:cs="Arial"/>
          <w:sz w:val="20"/>
          <w:szCs w:val="20"/>
          <w:lang w:eastAsia="it-IT"/>
        </w:rPr>
        <w:t>Goal</w:t>
      </w:r>
      <w:r w:rsidRPr="00C574AA">
        <w:rPr>
          <w:rFonts w:ascii="Arial" w:hAnsi="Arial" w:cs="Arial"/>
          <w:sz w:val="20"/>
          <w:szCs w:val="20"/>
        </w:rPr>
        <w:t xml:space="preserve">, per ogni regione o Provincia Autonoma, per ogni anno (dal 2012 al 2022), la distanza dalla </w:t>
      </w:r>
      <w:r w:rsidRPr="00C574AA">
        <w:rPr>
          <w:rFonts w:ascii="Arial" w:hAnsi="Arial" w:cs="Arial"/>
          <w:i/>
          <w:sz w:val="20"/>
          <w:szCs w:val="20"/>
        </w:rPr>
        <w:t>best performance</w:t>
      </w:r>
      <w:r w:rsidRPr="00C574AA">
        <w:rPr>
          <w:rFonts w:ascii="Arial" w:hAnsi="Arial" w:cs="Arial"/>
          <w:sz w:val="20"/>
          <w:szCs w:val="20"/>
        </w:rPr>
        <w:t xml:space="preserve"> è rappresentata da un colore che varia dal verde più intenso (distanza minima della regione nel </w:t>
      </w:r>
      <w:r w:rsidRPr="00D63E81">
        <w:rPr>
          <w:rFonts w:ascii="Arial" w:eastAsia="Times New Roman" w:hAnsi="Arial" w:cs="Arial"/>
          <w:sz w:val="20"/>
          <w:szCs w:val="20"/>
          <w:lang w:eastAsia="it-IT"/>
        </w:rPr>
        <w:t>Goal</w:t>
      </w:r>
      <w:r w:rsidRPr="00C574AA">
        <w:rPr>
          <w:rFonts w:ascii="Arial" w:hAnsi="Arial" w:cs="Arial"/>
          <w:sz w:val="20"/>
          <w:szCs w:val="20"/>
        </w:rPr>
        <w:t xml:space="preserve"> considerato) al rosso più scuro (distanza massima), passando per il giallo. Tali “mappe di calore”, pur nella loro sintesi, forniscono una rappresentazione visiva immediata e facilmente interpretabile dei progressi delle disparità territoriali, all’interno di ciascun </w:t>
      </w:r>
      <w:r w:rsidRPr="00D63E81">
        <w:rPr>
          <w:rFonts w:ascii="Arial" w:eastAsia="Times New Roman" w:hAnsi="Arial" w:cs="Arial"/>
          <w:sz w:val="20"/>
          <w:szCs w:val="20"/>
          <w:lang w:eastAsia="it-IT"/>
        </w:rPr>
        <w:t>Goal</w:t>
      </w:r>
      <w:r w:rsidRPr="00C574AA">
        <w:rPr>
          <w:rFonts w:ascii="Arial" w:hAnsi="Arial" w:cs="Arial"/>
          <w:sz w:val="20"/>
          <w:szCs w:val="20"/>
        </w:rPr>
        <w:t>.</w:t>
      </w:r>
    </w:p>
    <w:p w14:paraId="269EFAAA" w14:textId="77777777" w:rsidR="00AA6E45" w:rsidRPr="00902762" w:rsidRDefault="00AA6E45" w:rsidP="00620338">
      <w:pPr>
        <w:pStyle w:val="IWP21BibliografiaGlossario"/>
        <w:shd w:val="clear" w:color="auto" w:fill="FFFFFF"/>
        <w:spacing w:after="120"/>
        <w:ind w:left="0" w:firstLine="0"/>
        <w:rPr>
          <w:rFonts w:ascii="Arial" w:hAnsi="Arial" w:cs="Arial"/>
          <w:sz w:val="20"/>
          <w:szCs w:val="20"/>
          <w:lang w:eastAsia="en-US"/>
        </w:rPr>
      </w:pPr>
    </w:p>
    <w:p w14:paraId="733DD8CF" w14:textId="7B52DF44" w:rsidR="001C2F51" w:rsidRDefault="001C2F51" w:rsidP="001C2F51">
      <w:pPr>
        <w:jc w:val="both"/>
        <w:rPr>
          <w:rFonts w:ascii="Arial" w:hAnsi="Arial" w:cs="Arial"/>
          <w:b/>
          <w:sz w:val="20"/>
          <w:szCs w:val="20"/>
        </w:rPr>
      </w:pPr>
      <w:r w:rsidRPr="001C2F51">
        <w:rPr>
          <w:rFonts w:ascii="Arial" w:hAnsi="Arial" w:cs="Arial"/>
          <w:b/>
          <w:sz w:val="20"/>
          <w:szCs w:val="20"/>
        </w:rPr>
        <w:t xml:space="preserve">Figura 5 – Distanza delle regioni dalla </w:t>
      </w:r>
      <w:r w:rsidRPr="001C2F51">
        <w:rPr>
          <w:rFonts w:ascii="Arial" w:hAnsi="Arial" w:cs="Arial"/>
          <w:b/>
          <w:i/>
          <w:iCs/>
          <w:sz w:val="20"/>
          <w:szCs w:val="20"/>
        </w:rPr>
        <w:t>best performance</w:t>
      </w:r>
      <w:r w:rsidRPr="001C2F51">
        <w:rPr>
          <w:rFonts w:ascii="Arial" w:hAnsi="Arial" w:cs="Arial"/>
          <w:b/>
          <w:sz w:val="20"/>
          <w:szCs w:val="20"/>
        </w:rPr>
        <w:t xml:space="preserve"> per i </w:t>
      </w:r>
      <w:r w:rsidRPr="00D63E81">
        <w:rPr>
          <w:rFonts w:ascii="Arial" w:hAnsi="Arial" w:cs="Arial"/>
          <w:b/>
          <w:sz w:val="20"/>
          <w:szCs w:val="20"/>
        </w:rPr>
        <w:t>Goal</w:t>
      </w:r>
      <w:r w:rsidRPr="001C2F51">
        <w:rPr>
          <w:rFonts w:ascii="Arial" w:hAnsi="Arial" w:cs="Arial"/>
          <w:b/>
          <w:sz w:val="20"/>
          <w:szCs w:val="20"/>
        </w:rPr>
        <w:t xml:space="preserve"> dell’area </w:t>
      </w:r>
      <w:r w:rsidRPr="001C2F51">
        <w:rPr>
          <w:rFonts w:ascii="Arial" w:hAnsi="Arial" w:cs="Arial"/>
          <w:b/>
          <w:i/>
          <w:iCs/>
          <w:sz w:val="20"/>
          <w:szCs w:val="20"/>
        </w:rPr>
        <w:t>People</w:t>
      </w:r>
      <w:r w:rsidRPr="001C2F51">
        <w:rPr>
          <w:rFonts w:ascii="Arial" w:hAnsi="Arial" w:cs="Arial"/>
          <w:b/>
          <w:sz w:val="20"/>
          <w:szCs w:val="20"/>
        </w:rPr>
        <w:t xml:space="preserve">. Anni 2012-2022 (a) </w:t>
      </w:r>
    </w:p>
    <w:p w14:paraId="354C2B84" w14:textId="6B44265B" w:rsidR="0022127B" w:rsidRDefault="00492FEB" w:rsidP="001C2F51">
      <w:pPr>
        <w:jc w:val="both"/>
        <w:rPr>
          <w:rFonts w:ascii="Arial" w:hAnsi="Arial" w:cs="Arial"/>
          <w:b/>
          <w:sz w:val="20"/>
          <w:szCs w:val="20"/>
        </w:rPr>
      </w:pPr>
      <w:r>
        <w:rPr>
          <w:rFonts w:ascii="Arial" w:hAnsi="Arial" w:cs="Arial"/>
          <w:b/>
          <w:noProof/>
          <w:sz w:val="20"/>
          <w:szCs w:val="20"/>
          <w:lang w:eastAsia="it-IT"/>
        </w:rPr>
        <w:drawing>
          <wp:inline distT="0" distB="0" distL="0" distR="0" wp14:anchorId="30805BD5" wp14:editId="56F39672">
            <wp:extent cx="4179600" cy="4320000"/>
            <wp:effectExtent l="0" t="0" r="0" b="4445"/>
            <wp:docPr id="3" name="Immagine 3" descr="Immagine che contiene testo, schermata, Policromia, gial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 schermata, Policromia, giallo&#10;&#10;Descrizione generata automa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79600" cy="4320000"/>
                    </a:xfrm>
                    <a:prstGeom prst="rect">
                      <a:avLst/>
                    </a:prstGeom>
                  </pic:spPr>
                </pic:pic>
              </a:graphicData>
            </a:graphic>
          </wp:inline>
        </w:drawing>
      </w:r>
    </w:p>
    <w:p w14:paraId="64CDE261" w14:textId="77777777" w:rsidR="001C2F51" w:rsidRPr="001C2F51" w:rsidRDefault="001C2F51" w:rsidP="009A33E5">
      <w:pPr>
        <w:pStyle w:val="Titolo2"/>
        <w:keepNext w:val="0"/>
        <w:keepLines w:val="0"/>
        <w:widowControl w:val="0"/>
        <w:numPr>
          <w:ilvl w:val="0"/>
          <w:numId w:val="26"/>
        </w:numPr>
        <w:autoSpaceDE w:val="0"/>
        <w:autoSpaceDN w:val="0"/>
        <w:spacing w:before="0" w:line="240" w:lineRule="auto"/>
        <w:jc w:val="both"/>
        <w:rPr>
          <w:rFonts w:ascii="Helvetica LT Std Cond" w:hAnsi="Helvetica LT Std Cond" w:cstheme="minorHAnsi"/>
          <w:sz w:val="14"/>
          <w:szCs w:val="14"/>
        </w:rPr>
      </w:pPr>
      <w:r w:rsidRPr="001C2F51">
        <w:rPr>
          <w:rFonts w:ascii="Helvetica LT Std Cond" w:hAnsi="Helvetica LT Std Cond" w:cstheme="minorHAnsi"/>
          <w:sz w:val="14"/>
          <w:szCs w:val="14"/>
        </w:rPr>
        <w:t xml:space="preserve">La distanza minima e la distanza massima sono calcolate relativamente a ogni </w:t>
      </w:r>
      <w:r w:rsidRPr="00D63E81">
        <w:rPr>
          <w:rFonts w:ascii="Helvetica LT Std Cond" w:hAnsi="Helvetica LT Std Cond" w:cstheme="minorHAnsi"/>
          <w:sz w:val="14"/>
          <w:szCs w:val="14"/>
        </w:rPr>
        <w:t>Goal</w:t>
      </w:r>
    </w:p>
    <w:p w14:paraId="640F8E8C" w14:textId="7DB67F4B" w:rsidR="001C2F51" w:rsidRDefault="001C2F51" w:rsidP="00D63E81">
      <w:pPr>
        <w:spacing w:after="120" w:line="240" w:lineRule="auto"/>
        <w:jc w:val="both"/>
        <w:rPr>
          <w:rFonts w:ascii="Arial" w:hAnsi="Arial" w:cs="Arial"/>
          <w:sz w:val="20"/>
          <w:szCs w:val="20"/>
        </w:rPr>
      </w:pPr>
    </w:p>
    <w:p w14:paraId="5DC690F7" w14:textId="6667F350" w:rsidR="00DB104E" w:rsidRDefault="00DB104E" w:rsidP="00D63E81">
      <w:pPr>
        <w:spacing w:after="120" w:line="240" w:lineRule="auto"/>
        <w:jc w:val="both"/>
        <w:rPr>
          <w:rFonts w:ascii="Arial" w:eastAsiaTheme="minorEastAsia" w:hAnsi="Arial" w:cs="Arial"/>
          <w:sz w:val="20"/>
          <w:szCs w:val="20"/>
        </w:rPr>
      </w:pPr>
      <w:r w:rsidRPr="001C2F51">
        <w:rPr>
          <w:rFonts w:ascii="Arial" w:eastAsiaTheme="minorEastAsia" w:hAnsi="Arial" w:cs="Arial"/>
          <w:sz w:val="20"/>
          <w:szCs w:val="20"/>
        </w:rPr>
        <w:t xml:space="preserve">L’area </w:t>
      </w:r>
      <w:r w:rsidRPr="001C2F51">
        <w:rPr>
          <w:rFonts w:ascii="Arial" w:eastAsiaTheme="minorEastAsia" w:hAnsi="Arial" w:cs="Arial"/>
          <w:i/>
          <w:sz w:val="20"/>
          <w:szCs w:val="20"/>
        </w:rPr>
        <w:t>People</w:t>
      </w:r>
      <w:r w:rsidRPr="001C2F51">
        <w:rPr>
          <w:rFonts w:ascii="Arial" w:eastAsiaTheme="minorEastAsia" w:hAnsi="Arial" w:cs="Arial"/>
          <w:sz w:val="20"/>
          <w:szCs w:val="20"/>
        </w:rPr>
        <w:t xml:space="preserve"> (Figura 5) delinea un moderato miglioramento nel tempo, seppur con alcuni importanti</w:t>
      </w:r>
      <w:r w:rsidRPr="00957924">
        <w:rPr>
          <w:rFonts w:ascii="Arial" w:eastAsiaTheme="minorEastAsia" w:hAnsi="Arial" w:cs="Arial"/>
          <w:sz w:val="20"/>
          <w:szCs w:val="20"/>
        </w:rPr>
        <w:t xml:space="preserve"> arretramenti, soprattutto per alcune zone geografiche. Il </w:t>
      </w:r>
      <w:r w:rsidRPr="00D63E81">
        <w:rPr>
          <w:rFonts w:ascii="Arial" w:eastAsiaTheme="minorEastAsia" w:hAnsi="Arial" w:cs="Arial"/>
          <w:sz w:val="20"/>
          <w:szCs w:val="20"/>
        </w:rPr>
        <w:t>Goal</w:t>
      </w:r>
      <w:r w:rsidRPr="00957924">
        <w:rPr>
          <w:rFonts w:ascii="Arial" w:eastAsiaTheme="minorEastAsia" w:hAnsi="Arial" w:cs="Arial"/>
          <w:sz w:val="20"/>
          <w:szCs w:val="20"/>
        </w:rPr>
        <w:t xml:space="preserve"> 4 (Istruzione)</w:t>
      </w:r>
      <w:r w:rsidRPr="00957924" w:rsidDel="00F861A1">
        <w:rPr>
          <w:rFonts w:ascii="Arial" w:eastAsiaTheme="minorEastAsia" w:hAnsi="Arial" w:cs="Arial"/>
          <w:sz w:val="20"/>
          <w:szCs w:val="20"/>
        </w:rPr>
        <w:t xml:space="preserve"> </w:t>
      </w:r>
      <w:r w:rsidRPr="00957924">
        <w:rPr>
          <w:rFonts w:ascii="Arial" w:hAnsi="Arial" w:cs="Arial"/>
          <w:sz w:val="20"/>
          <w:szCs w:val="20"/>
        </w:rPr>
        <w:t xml:space="preserve">vede ad esempio un peggioramento di quasi tutte le misure relative alle competenze nell’anno della didattica a distanza, con un recupero nel periodo post-pandemico non uniforme sul territorio, che non consente di ripristinare i livelli </w:t>
      </w:r>
      <w:proofErr w:type="spellStart"/>
      <w:r w:rsidRPr="00957924">
        <w:rPr>
          <w:rFonts w:ascii="Arial" w:hAnsi="Arial" w:cs="Arial"/>
          <w:sz w:val="20"/>
          <w:szCs w:val="20"/>
        </w:rPr>
        <w:t>pre</w:t>
      </w:r>
      <w:proofErr w:type="spellEnd"/>
      <w:r w:rsidRPr="00957924">
        <w:rPr>
          <w:rFonts w:ascii="Arial" w:hAnsi="Arial" w:cs="Arial"/>
          <w:sz w:val="20"/>
          <w:szCs w:val="20"/>
        </w:rPr>
        <w:t xml:space="preserve">-pandemia soprattutto nelle regioni meridionali. </w:t>
      </w:r>
      <w:r w:rsidRPr="00957924">
        <w:rPr>
          <w:rFonts w:ascii="Arial" w:eastAsiaTheme="minorEastAsia" w:hAnsi="Arial" w:cs="Arial"/>
          <w:sz w:val="20"/>
          <w:szCs w:val="20"/>
        </w:rPr>
        <w:t xml:space="preserve">Per tutti i </w:t>
      </w:r>
      <w:r w:rsidRPr="00D63E81">
        <w:rPr>
          <w:rFonts w:ascii="Arial" w:eastAsiaTheme="minorEastAsia" w:hAnsi="Arial" w:cs="Arial"/>
          <w:sz w:val="20"/>
          <w:szCs w:val="20"/>
        </w:rPr>
        <w:t>Goal</w:t>
      </w:r>
      <w:r w:rsidRPr="00957924">
        <w:rPr>
          <w:rFonts w:ascii="Arial" w:eastAsiaTheme="minorEastAsia" w:hAnsi="Arial" w:cs="Arial"/>
          <w:sz w:val="20"/>
          <w:szCs w:val="20"/>
        </w:rPr>
        <w:t xml:space="preserve"> è evidente una forte e persistente disparità territoriale Nord-Mezzogiorno, con l’eccezione del </w:t>
      </w:r>
      <w:r w:rsidRPr="00D63E81">
        <w:rPr>
          <w:rFonts w:ascii="Arial" w:eastAsiaTheme="minorEastAsia" w:hAnsi="Arial" w:cs="Arial"/>
          <w:sz w:val="20"/>
          <w:szCs w:val="20"/>
        </w:rPr>
        <w:t>Goal</w:t>
      </w:r>
      <w:r w:rsidRPr="00957924">
        <w:rPr>
          <w:rFonts w:ascii="Arial" w:eastAsiaTheme="minorEastAsia" w:hAnsi="Arial" w:cs="Arial"/>
          <w:sz w:val="20"/>
          <w:szCs w:val="20"/>
        </w:rPr>
        <w:t xml:space="preserve"> 3 (Salute), che vede ridurre il divario nel corso del tempo, e, in misura minore, del </w:t>
      </w:r>
      <w:r w:rsidRPr="00D63E81">
        <w:rPr>
          <w:rFonts w:ascii="Arial" w:eastAsiaTheme="minorEastAsia" w:hAnsi="Arial" w:cs="Arial"/>
          <w:sz w:val="20"/>
          <w:szCs w:val="20"/>
        </w:rPr>
        <w:t>Goal</w:t>
      </w:r>
      <w:r w:rsidRPr="00957924">
        <w:rPr>
          <w:rFonts w:ascii="Arial" w:eastAsiaTheme="minorEastAsia" w:hAnsi="Arial" w:cs="Arial"/>
          <w:sz w:val="20"/>
          <w:szCs w:val="20"/>
        </w:rPr>
        <w:t xml:space="preserve"> 5 (</w:t>
      </w:r>
      <w:r w:rsidR="00107D0B">
        <w:rPr>
          <w:rFonts w:ascii="Arial" w:eastAsiaTheme="minorEastAsia" w:hAnsi="Arial" w:cs="Arial"/>
          <w:sz w:val="20"/>
          <w:szCs w:val="20"/>
        </w:rPr>
        <w:t>Parità di g</w:t>
      </w:r>
      <w:r w:rsidRPr="00957924">
        <w:rPr>
          <w:rFonts w:ascii="Arial" w:eastAsiaTheme="minorEastAsia" w:hAnsi="Arial" w:cs="Arial"/>
          <w:sz w:val="20"/>
          <w:szCs w:val="20"/>
        </w:rPr>
        <w:t xml:space="preserve">enere), il cui andamento complessivo migliora in misura abbastanza equilibrata a livello territoriale. </w:t>
      </w:r>
    </w:p>
    <w:p w14:paraId="16874FD9" w14:textId="0BFCEBFA" w:rsidR="00AA6E45" w:rsidRDefault="00AA6E45" w:rsidP="00D63E81">
      <w:pPr>
        <w:spacing w:after="120" w:line="240" w:lineRule="auto"/>
        <w:jc w:val="both"/>
        <w:rPr>
          <w:rFonts w:ascii="Arial" w:eastAsiaTheme="minorEastAsia" w:hAnsi="Arial" w:cs="Arial"/>
          <w:sz w:val="20"/>
          <w:szCs w:val="20"/>
        </w:rPr>
      </w:pPr>
    </w:p>
    <w:p w14:paraId="00F57CA3" w14:textId="3A291CA8" w:rsidR="00EB65D8" w:rsidRDefault="00EB65D8" w:rsidP="00D63E81">
      <w:pPr>
        <w:spacing w:after="120" w:line="240" w:lineRule="auto"/>
        <w:jc w:val="both"/>
        <w:rPr>
          <w:rFonts w:ascii="Arial" w:eastAsiaTheme="minorEastAsia" w:hAnsi="Arial" w:cs="Arial"/>
          <w:sz w:val="20"/>
          <w:szCs w:val="20"/>
        </w:rPr>
      </w:pPr>
    </w:p>
    <w:p w14:paraId="563D26F5" w14:textId="77777777" w:rsidR="00EB65D8" w:rsidRDefault="00EB65D8" w:rsidP="00D63E81">
      <w:pPr>
        <w:spacing w:after="120" w:line="240" w:lineRule="auto"/>
        <w:jc w:val="both"/>
        <w:rPr>
          <w:rFonts w:ascii="Arial" w:eastAsiaTheme="minorEastAsia" w:hAnsi="Arial" w:cs="Arial"/>
          <w:sz w:val="20"/>
          <w:szCs w:val="20"/>
        </w:rPr>
      </w:pPr>
    </w:p>
    <w:p w14:paraId="39F00BC9" w14:textId="77777777" w:rsidR="00CA4DEB" w:rsidRDefault="00CA4DEB" w:rsidP="009A33E5">
      <w:pPr>
        <w:jc w:val="both"/>
        <w:rPr>
          <w:rFonts w:ascii="Arial" w:hAnsi="Arial" w:cs="Arial"/>
          <w:b/>
          <w:sz w:val="20"/>
          <w:szCs w:val="20"/>
        </w:rPr>
      </w:pPr>
      <w:r>
        <w:rPr>
          <w:rFonts w:ascii="Arial" w:hAnsi="Arial" w:cs="Arial"/>
          <w:b/>
          <w:sz w:val="20"/>
          <w:szCs w:val="20"/>
        </w:rPr>
        <w:br w:type="page"/>
      </w:r>
    </w:p>
    <w:p w14:paraId="247D8DFE" w14:textId="69E60F91" w:rsidR="009A33E5" w:rsidRDefault="009A33E5" w:rsidP="009A33E5">
      <w:pPr>
        <w:jc w:val="both"/>
        <w:rPr>
          <w:rFonts w:ascii="Arial" w:hAnsi="Arial" w:cs="Arial"/>
          <w:b/>
          <w:sz w:val="20"/>
          <w:szCs w:val="20"/>
        </w:rPr>
      </w:pPr>
      <w:r w:rsidRPr="009A33E5">
        <w:rPr>
          <w:rFonts w:ascii="Arial" w:hAnsi="Arial" w:cs="Arial"/>
          <w:b/>
          <w:sz w:val="20"/>
          <w:szCs w:val="20"/>
        </w:rPr>
        <w:lastRenderedPageBreak/>
        <w:t xml:space="preserve">Figura 6 – Distanza delle regioni dalla </w:t>
      </w:r>
      <w:r w:rsidRPr="009A33E5">
        <w:rPr>
          <w:rFonts w:ascii="Arial" w:hAnsi="Arial" w:cs="Arial"/>
          <w:b/>
          <w:i/>
          <w:iCs/>
          <w:sz w:val="20"/>
          <w:szCs w:val="20"/>
        </w:rPr>
        <w:t>best performance</w:t>
      </w:r>
      <w:r w:rsidRPr="009A33E5">
        <w:rPr>
          <w:rFonts w:ascii="Arial" w:hAnsi="Arial" w:cs="Arial"/>
          <w:b/>
          <w:sz w:val="20"/>
          <w:szCs w:val="20"/>
        </w:rPr>
        <w:t xml:space="preserve"> per i </w:t>
      </w:r>
      <w:r w:rsidRPr="00D63E81">
        <w:rPr>
          <w:rFonts w:ascii="Arial" w:hAnsi="Arial" w:cs="Arial"/>
          <w:b/>
          <w:sz w:val="20"/>
          <w:szCs w:val="20"/>
        </w:rPr>
        <w:t>Goal</w:t>
      </w:r>
      <w:r w:rsidRPr="009A33E5">
        <w:rPr>
          <w:rFonts w:ascii="Arial" w:hAnsi="Arial" w:cs="Arial"/>
          <w:b/>
          <w:sz w:val="20"/>
          <w:szCs w:val="20"/>
        </w:rPr>
        <w:t xml:space="preserve"> dell’area </w:t>
      </w:r>
      <w:r w:rsidRPr="009A33E5">
        <w:rPr>
          <w:rFonts w:ascii="Arial" w:hAnsi="Arial" w:cs="Arial"/>
          <w:b/>
          <w:i/>
          <w:iCs/>
          <w:sz w:val="20"/>
          <w:szCs w:val="20"/>
        </w:rPr>
        <w:t>Planet</w:t>
      </w:r>
      <w:r w:rsidRPr="009A33E5">
        <w:rPr>
          <w:rFonts w:ascii="Arial" w:hAnsi="Arial" w:cs="Arial"/>
          <w:b/>
          <w:sz w:val="20"/>
          <w:szCs w:val="20"/>
        </w:rPr>
        <w:t>. Anni 2012-2022 (a)</w:t>
      </w:r>
    </w:p>
    <w:p w14:paraId="5EF47A4E" w14:textId="2A2074C7" w:rsidR="00492FEB" w:rsidRPr="009A33E5" w:rsidRDefault="00492FEB" w:rsidP="009A33E5">
      <w:pPr>
        <w:jc w:val="both"/>
        <w:rPr>
          <w:rFonts w:ascii="Arial" w:eastAsiaTheme="minorEastAsia" w:hAnsi="Arial" w:cs="Arial"/>
          <w:sz w:val="20"/>
          <w:szCs w:val="20"/>
        </w:rPr>
      </w:pPr>
      <w:r>
        <w:rPr>
          <w:rFonts w:ascii="Arial" w:eastAsiaTheme="minorEastAsia" w:hAnsi="Arial" w:cs="Arial"/>
          <w:noProof/>
          <w:sz w:val="20"/>
          <w:szCs w:val="20"/>
          <w:lang w:eastAsia="it-IT"/>
        </w:rPr>
        <w:drawing>
          <wp:inline distT="0" distB="0" distL="0" distR="0" wp14:anchorId="3A2CCF15" wp14:editId="080037EF">
            <wp:extent cx="4179600" cy="4320000"/>
            <wp:effectExtent l="0" t="0" r="0" b="4445"/>
            <wp:docPr id="6" name="Immagine 6" descr="Immagine che contiene testo, schermata, Policromi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testo, schermata, Policromia, design&#10;&#10;Descrizione generata automaticament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79600" cy="4320000"/>
                    </a:xfrm>
                    <a:prstGeom prst="rect">
                      <a:avLst/>
                    </a:prstGeom>
                  </pic:spPr>
                </pic:pic>
              </a:graphicData>
            </a:graphic>
          </wp:inline>
        </w:drawing>
      </w:r>
    </w:p>
    <w:p w14:paraId="1E883686" w14:textId="77777777" w:rsidR="009A33E5" w:rsidRPr="001C2F51" w:rsidRDefault="009A33E5" w:rsidP="009A33E5">
      <w:pPr>
        <w:pStyle w:val="Titolo2"/>
        <w:keepNext w:val="0"/>
        <w:keepLines w:val="0"/>
        <w:widowControl w:val="0"/>
        <w:numPr>
          <w:ilvl w:val="0"/>
          <w:numId w:val="27"/>
        </w:numPr>
        <w:autoSpaceDE w:val="0"/>
        <w:autoSpaceDN w:val="0"/>
        <w:spacing w:before="0" w:line="240" w:lineRule="auto"/>
        <w:jc w:val="both"/>
        <w:rPr>
          <w:rFonts w:ascii="Helvetica LT Std Cond" w:hAnsi="Helvetica LT Std Cond" w:cstheme="minorHAnsi"/>
          <w:sz w:val="14"/>
          <w:szCs w:val="14"/>
        </w:rPr>
      </w:pPr>
      <w:r w:rsidRPr="001C2F51">
        <w:rPr>
          <w:rFonts w:ascii="Helvetica LT Std Cond" w:hAnsi="Helvetica LT Std Cond" w:cstheme="minorHAnsi"/>
          <w:sz w:val="14"/>
          <w:szCs w:val="14"/>
        </w:rPr>
        <w:t xml:space="preserve">La distanza minima e la distanza massima sono calcolate relativamente a ogni </w:t>
      </w:r>
      <w:r w:rsidRPr="00D63E81">
        <w:rPr>
          <w:rFonts w:ascii="Helvetica LT Std Cond" w:hAnsi="Helvetica LT Std Cond" w:cstheme="minorHAnsi"/>
          <w:sz w:val="14"/>
          <w:szCs w:val="14"/>
        </w:rPr>
        <w:t>Goal</w:t>
      </w:r>
    </w:p>
    <w:p w14:paraId="1307B91B" w14:textId="690A404F" w:rsidR="009A33E5" w:rsidRDefault="009A33E5" w:rsidP="00D63E81">
      <w:pPr>
        <w:spacing w:after="120" w:line="240" w:lineRule="auto"/>
        <w:jc w:val="both"/>
        <w:rPr>
          <w:rFonts w:ascii="Arial" w:eastAsiaTheme="minorEastAsia" w:hAnsi="Arial" w:cs="Arial"/>
          <w:sz w:val="20"/>
          <w:szCs w:val="20"/>
        </w:rPr>
      </w:pPr>
    </w:p>
    <w:p w14:paraId="017ADA8A" w14:textId="77777777" w:rsidR="00DB104E" w:rsidRPr="00957924" w:rsidRDefault="00DB104E" w:rsidP="00D63E81">
      <w:pPr>
        <w:spacing w:after="120" w:line="240" w:lineRule="auto"/>
        <w:jc w:val="both"/>
        <w:rPr>
          <w:rFonts w:ascii="Arial" w:hAnsi="Arial" w:cs="Arial"/>
          <w:sz w:val="20"/>
          <w:szCs w:val="20"/>
        </w:rPr>
      </w:pPr>
    </w:p>
    <w:p w14:paraId="63F1933C" w14:textId="77777777" w:rsidR="00525563" w:rsidRDefault="00DB104E" w:rsidP="00D63E81">
      <w:pPr>
        <w:spacing w:after="120" w:line="240" w:lineRule="auto"/>
        <w:jc w:val="both"/>
        <w:rPr>
          <w:rFonts w:ascii="Arial" w:eastAsiaTheme="minorEastAsia" w:hAnsi="Arial" w:cs="Arial"/>
          <w:sz w:val="20"/>
          <w:szCs w:val="20"/>
        </w:rPr>
      </w:pPr>
      <w:r w:rsidRPr="00957924">
        <w:rPr>
          <w:rFonts w:ascii="Arial" w:eastAsiaTheme="minorEastAsia" w:hAnsi="Arial" w:cs="Arial"/>
          <w:sz w:val="20"/>
          <w:szCs w:val="20"/>
        </w:rPr>
        <w:t xml:space="preserve">La dinamica scarsamente intensa che interessa i </w:t>
      </w:r>
      <w:r w:rsidRPr="00D63E81">
        <w:rPr>
          <w:rFonts w:ascii="Arial" w:eastAsiaTheme="minorEastAsia" w:hAnsi="Arial" w:cs="Arial"/>
          <w:sz w:val="20"/>
          <w:szCs w:val="20"/>
        </w:rPr>
        <w:t>Goal</w:t>
      </w:r>
      <w:r w:rsidRPr="00957924">
        <w:rPr>
          <w:rFonts w:ascii="Arial" w:eastAsiaTheme="minorEastAsia" w:hAnsi="Arial" w:cs="Arial"/>
          <w:sz w:val="20"/>
          <w:szCs w:val="20"/>
        </w:rPr>
        <w:t xml:space="preserve"> dell’area </w:t>
      </w:r>
      <w:r w:rsidRPr="00957924">
        <w:rPr>
          <w:rFonts w:ascii="Arial" w:eastAsiaTheme="minorEastAsia" w:hAnsi="Arial" w:cs="Arial"/>
          <w:i/>
          <w:sz w:val="20"/>
          <w:szCs w:val="20"/>
        </w:rPr>
        <w:t>Planet</w:t>
      </w:r>
      <w:r w:rsidRPr="00957924">
        <w:rPr>
          <w:rFonts w:ascii="Arial" w:eastAsiaTheme="minorEastAsia" w:hAnsi="Arial" w:cs="Arial"/>
          <w:sz w:val="20"/>
          <w:szCs w:val="20"/>
        </w:rPr>
        <w:t xml:space="preserve"> non dipende solo da aggiornamenti </w:t>
      </w:r>
      <w:r>
        <w:rPr>
          <w:rFonts w:ascii="Arial" w:eastAsiaTheme="minorEastAsia" w:hAnsi="Arial" w:cs="Arial"/>
          <w:sz w:val="20"/>
          <w:szCs w:val="20"/>
        </w:rPr>
        <w:t xml:space="preserve">meno frequenti e ridotto </w:t>
      </w:r>
      <w:r w:rsidRPr="00957924">
        <w:rPr>
          <w:rFonts w:ascii="Arial" w:eastAsiaTheme="minorEastAsia" w:hAnsi="Arial" w:cs="Arial"/>
          <w:sz w:val="20"/>
          <w:szCs w:val="20"/>
        </w:rPr>
        <w:t>dinamismo nel medio periodo degli indicatori</w:t>
      </w:r>
      <w:r>
        <w:rPr>
          <w:rFonts w:ascii="Arial" w:eastAsiaTheme="minorEastAsia" w:hAnsi="Arial" w:cs="Arial"/>
          <w:sz w:val="20"/>
          <w:szCs w:val="20"/>
        </w:rPr>
        <w:t xml:space="preserve"> </w:t>
      </w:r>
      <w:r w:rsidRPr="00957924">
        <w:rPr>
          <w:rFonts w:ascii="Arial" w:eastAsiaTheme="minorEastAsia" w:hAnsi="Arial" w:cs="Arial"/>
          <w:sz w:val="20"/>
          <w:szCs w:val="20"/>
        </w:rPr>
        <w:t xml:space="preserve">che misurano lo stato del pianeta, ma anche da un’effettiva stazionarietà delle distanze inter-regionali delle grandezze dalla </w:t>
      </w:r>
      <w:proofErr w:type="spellStart"/>
      <w:r w:rsidRPr="00957924">
        <w:rPr>
          <w:rFonts w:ascii="Arial" w:eastAsiaTheme="minorEastAsia" w:hAnsi="Arial" w:cs="Arial"/>
          <w:i/>
          <w:sz w:val="20"/>
          <w:szCs w:val="20"/>
        </w:rPr>
        <w:t>bp</w:t>
      </w:r>
      <w:proofErr w:type="spellEnd"/>
      <w:r w:rsidR="00087886">
        <w:rPr>
          <w:rFonts w:ascii="Arial" w:eastAsiaTheme="minorEastAsia" w:hAnsi="Arial" w:cs="Arial"/>
          <w:i/>
          <w:sz w:val="20"/>
          <w:szCs w:val="20"/>
        </w:rPr>
        <w:t xml:space="preserve"> </w:t>
      </w:r>
      <w:r w:rsidR="00087886" w:rsidRPr="00087886">
        <w:rPr>
          <w:rFonts w:ascii="Arial" w:eastAsiaTheme="minorEastAsia" w:hAnsi="Arial" w:cs="Arial"/>
          <w:sz w:val="20"/>
          <w:szCs w:val="20"/>
        </w:rPr>
        <w:t>(Figura 6)</w:t>
      </w:r>
      <w:r>
        <w:rPr>
          <w:rFonts w:ascii="Arial" w:eastAsiaTheme="minorEastAsia" w:hAnsi="Arial" w:cs="Arial"/>
          <w:sz w:val="20"/>
          <w:szCs w:val="20"/>
        </w:rPr>
        <w:t xml:space="preserve">. </w:t>
      </w:r>
    </w:p>
    <w:p w14:paraId="611E8AC4" w14:textId="6285AEFC" w:rsidR="00DB104E" w:rsidRPr="00957924" w:rsidRDefault="00DB104E" w:rsidP="00D63E81">
      <w:pPr>
        <w:spacing w:after="120" w:line="240" w:lineRule="auto"/>
        <w:jc w:val="both"/>
        <w:rPr>
          <w:rFonts w:ascii="Arial" w:eastAsiaTheme="minorEastAsia" w:hAnsi="Arial" w:cs="Arial"/>
          <w:sz w:val="20"/>
          <w:szCs w:val="20"/>
        </w:rPr>
      </w:pPr>
      <w:r w:rsidRPr="00957924">
        <w:rPr>
          <w:rFonts w:ascii="Arial" w:eastAsiaTheme="minorEastAsia" w:hAnsi="Arial" w:cs="Arial"/>
          <w:sz w:val="20"/>
          <w:szCs w:val="20"/>
        </w:rPr>
        <w:t xml:space="preserve">I </w:t>
      </w:r>
      <w:r w:rsidRPr="00D63E81">
        <w:rPr>
          <w:rFonts w:ascii="Arial" w:eastAsiaTheme="minorEastAsia" w:hAnsi="Arial" w:cs="Arial"/>
          <w:sz w:val="20"/>
          <w:szCs w:val="20"/>
        </w:rPr>
        <w:t>Goal</w:t>
      </w:r>
      <w:r w:rsidRPr="00957924">
        <w:rPr>
          <w:rFonts w:ascii="Arial" w:eastAsiaTheme="minorEastAsia" w:hAnsi="Arial" w:cs="Arial"/>
          <w:sz w:val="20"/>
          <w:szCs w:val="20"/>
        </w:rPr>
        <w:t xml:space="preserve"> 6 (Acqua), 13 (C</w:t>
      </w:r>
      <w:r w:rsidR="00107D0B">
        <w:rPr>
          <w:rFonts w:ascii="Arial" w:eastAsiaTheme="minorEastAsia" w:hAnsi="Arial" w:cs="Arial"/>
          <w:sz w:val="20"/>
          <w:szCs w:val="20"/>
        </w:rPr>
        <w:t>ambiamento c</w:t>
      </w:r>
      <w:r w:rsidRPr="00957924">
        <w:rPr>
          <w:rFonts w:ascii="Arial" w:eastAsiaTheme="minorEastAsia" w:hAnsi="Arial" w:cs="Arial"/>
          <w:sz w:val="20"/>
          <w:szCs w:val="20"/>
        </w:rPr>
        <w:t>lima</w:t>
      </w:r>
      <w:r w:rsidR="00107D0B">
        <w:rPr>
          <w:rFonts w:ascii="Arial" w:eastAsiaTheme="minorEastAsia" w:hAnsi="Arial" w:cs="Arial"/>
          <w:sz w:val="20"/>
          <w:szCs w:val="20"/>
        </w:rPr>
        <w:t>tico</w:t>
      </w:r>
      <w:r w:rsidRPr="00957924">
        <w:rPr>
          <w:rFonts w:ascii="Arial" w:eastAsiaTheme="minorEastAsia" w:hAnsi="Arial" w:cs="Arial"/>
          <w:sz w:val="20"/>
          <w:szCs w:val="20"/>
        </w:rPr>
        <w:t>), e 15 (Vita sulla terra)</w:t>
      </w:r>
      <w:r>
        <w:rPr>
          <w:rFonts w:ascii="Arial" w:eastAsiaTheme="minorEastAsia" w:hAnsi="Arial" w:cs="Arial"/>
          <w:sz w:val="20"/>
          <w:szCs w:val="20"/>
        </w:rPr>
        <w:t xml:space="preserve"> </w:t>
      </w:r>
      <w:r w:rsidRPr="00957924">
        <w:rPr>
          <w:rFonts w:ascii="Arial" w:eastAsiaTheme="minorEastAsia" w:hAnsi="Arial" w:cs="Arial"/>
          <w:sz w:val="20"/>
          <w:szCs w:val="20"/>
        </w:rPr>
        <w:t xml:space="preserve">si caratterizzano per una duratura eterogeneità territoriale, che non segue però il classico gradiente Nord-Mezzogiorno tipico dei </w:t>
      </w:r>
      <w:r w:rsidRPr="00D63E81">
        <w:rPr>
          <w:rFonts w:ascii="Arial" w:eastAsiaTheme="minorEastAsia" w:hAnsi="Arial" w:cs="Arial"/>
          <w:sz w:val="20"/>
          <w:szCs w:val="20"/>
        </w:rPr>
        <w:t>Goal</w:t>
      </w:r>
      <w:r w:rsidRPr="00957924">
        <w:rPr>
          <w:rFonts w:ascii="Arial" w:eastAsiaTheme="minorEastAsia" w:hAnsi="Arial" w:cs="Arial"/>
          <w:sz w:val="20"/>
          <w:szCs w:val="20"/>
        </w:rPr>
        <w:t xml:space="preserve"> dell’area </w:t>
      </w:r>
      <w:r w:rsidRPr="00957924">
        <w:rPr>
          <w:rFonts w:ascii="Arial" w:eastAsiaTheme="minorEastAsia" w:hAnsi="Arial" w:cs="Arial"/>
          <w:i/>
          <w:sz w:val="20"/>
          <w:szCs w:val="20"/>
        </w:rPr>
        <w:t>People</w:t>
      </w:r>
      <w:r w:rsidRPr="00957924">
        <w:rPr>
          <w:rFonts w:ascii="Arial" w:eastAsiaTheme="minorEastAsia" w:hAnsi="Arial" w:cs="Arial"/>
          <w:sz w:val="20"/>
          <w:szCs w:val="20"/>
        </w:rPr>
        <w:t xml:space="preserve"> o </w:t>
      </w:r>
      <w:proofErr w:type="spellStart"/>
      <w:r w:rsidRPr="00957924">
        <w:rPr>
          <w:rFonts w:ascii="Arial" w:eastAsiaTheme="minorEastAsia" w:hAnsi="Arial" w:cs="Arial"/>
          <w:i/>
          <w:sz w:val="20"/>
          <w:szCs w:val="20"/>
        </w:rPr>
        <w:t>Prosperity</w:t>
      </w:r>
      <w:proofErr w:type="spellEnd"/>
      <w:r w:rsidRPr="00957924">
        <w:rPr>
          <w:rFonts w:ascii="Arial" w:eastAsiaTheme="minorEastAsia" w:hAnsi="Arial" w:cs="Arial"/>
          <w:sz w:val="20"/>
          <w:szCs w:val="20"/>
        </w:rPr>
        <w:t xml:space="preserve">. Si evidenziano inoltre distanze dalla </w:t>
      </w:r>
      <w:proofErr w:type="spellStart"/>
      <w:r w:rsidRPr="00957924">
        <w:rPr>
          <w:rFonts w:ascii="Arial" w:eastAsiaTheme="minorEastAsia" w:hAnsi="Arial" w:cs="Arial"/>
          <w:i/>
          <w:iCs/>
          <w:sz w:val="20"/>
          <w:szCs w:val="20"/>
        </w:rPr>
        <w:t>bp</w:t>
      </w:r>
      <w:proofErr w:type="spellEnd"/>
      <w:r w:rsidRPr="00957924">
        <w:rPr>
          <w:rFonts w:ascii="Arial" w:eastAsiaTheme="minorEastAsia" w:hAnsi="Arial" w:cs="Arial"/>
          <w:sz w:val="20"/>
          <w:szCs w:val="20"/>
        </w:rPr>
        <w:t xml:space="preserve"> sensibilmente e costantemente più elevate per la Sicilia, nel </w:t>
      </w:r>
      <w:r w:rsidRPr="00D63E81">
        <w:rPr>
          <w:rFonts w:ascii="Arial" w:eastAsiaTheme="minorEastAsia" w:hAnsi="Arial" w:cs="Arial"/>
          <w:sz w:val="20"/>
          <w:szCs w:val="20"/>
        </w:rPr>
        <w:t>Goal</w:t>
      </w:r>
      <w:r w:rsidRPr="00957924">
        <w:rPr>
          <w:rFonts w:ascii="Arial" w:eastAsiaTheme="minorEastAsia" w:hAnsi="Arial" w:cs="Arial"/>
          <w:sz w:val="20"/>
          <w:szCs w:val="20"/>
        </w:rPr>
        <w:t xml:space="preserve"> 6, per l’Emilia-Romagna, nel </w:t>
      </w:r>
      <w:r w:rsidRPr="00D63E81">
        <w:rPr>
          <w:rFonts w:ascii="Arial" w:eastAsiaTheme="minorEastAsia" w:hAnsi="Arial" w:cs="Arial"/>
          <w:sz w:val="20"/>
          <w:szCs w:val="20"/>
        </w:rPr>
        <w:t>Goal</w:t>
      </w:r>
      <w:r w:rsidRPr="00957924">
        <w:rPr>
          <w:rFonts w:ascii="Arial" w:eastAsiaTheme="minorEastAsia" w:hAnsi="Arial" w:cs="Arial"/>
          <w:sz w:val="20"/>
          <w:szCs w:val="20"/>
        </w:rPr>
        <w:t xml:space="preserve"> 13, e per la Lombardia, nel </w:t>
      </w:r>
      <w:r w:rsidRPr="00D63E81">
        <w:rPr>
          <w:rFonts w:ascii="Arial" w:eastAsiaTheme="minorEastAsia" w:hAnsi="Arial" w:cs="Arial"/>
          <w:sz w:val="20"/>
          <w:szCs w:val="20"/>
        </w:rPr>
        <w:t>Goal</w:t>
      </w:r>
      <w:r w:rsidRPr="00957924">
        <w:rPr>
          <w:rFonts w:ascii="Arial" w:eastAsiaTheme="minorEastAsia" w:hAnsi="Arial" w:cs="Arial"/>
          <w:sz w:val="20"/>
          <w:szCs w:val="20"/>
        </w:rPr>
        <w:t xml:space="preserve"> 15. Nel caso della Sicilia l’ampia distanza è causata da percentuali relativamente basse, e che non migliorano, della copertura del servizio pubblico di fognatura e dell’estensione delle coste marine balneabili. Per quanto riguarda l’Emilia-Romagna incidono in modo particolare gli indicatori sul rischio di alluvioni; nel caso della Lombardia lo svantaggio dipende dall’effetto complessivo di tutte le misure considerate.</w:t>
      </w:r>
      <w:r>
        <w:rPr>
          <w:rFonts w:ascii="Arial" w:eastAsiaTheme="minorEastAsia" w:hAnsi="Arial" w:cs="Arial"/>
          <w:sz w:val="20"/>
          <w:szCs w:val="20"/>
        </w:rPr>
        <w:t xml:space="preserve"> </w:t>
      </w:r>
      <w:r w:rsidRPr="00D63E81">
        <w:rPr>
          <w:rFonts w:ascii="Arial" w:eastAsiaTheme="minorEastAsia" w:hAnsi="Arial" w:cs="Arial"/>
          <w:sz w:val="20"/>
          <w:szCs w:val="20"/>
        </w:rPr>
        <w:t>Goal</w:t>
      </w:r>
      <w:r w:rsidRPr="00957924">
        <w:rPr>
          <w:rFonts w:ascii="Arial" w:eastAsiaTheme="minorEastAsia" w:hAnsi="Arial" w:cs="Arial"/>
          <w:sz w:val="20"/>
          <w:szCs w:val="20"/>
        </w:rPr>
        <w:t xml:space="preserve"> 12 registra un allontanamento generalizzato nel corso del tempo dalle migliori </w:t>
      </w:r>
      <w:r w:rsidRPr="00D63E81">
        <w:rPr>
          <w:rFonts w:ascii="Arial" w:eastAsiaTheme="minorEastAsia" w:hAnsi="Arial" w:cs="Arial"/>
          <w:sz w:val="20"/>
          <w:szCs w:val="20"/>
        </w:rPr>
        <w:t>performance</w:t>
      </w:r>
      <w:r w:rsidRPr="00957924">
        <w:rPr>
          <w:rFonts w:ascii="Arial" w:eastAsiaTheme="minorEastAsia" w:hAnsi="Arial" w:cs="Arial"/>
          <w:sz w:val="20"/>
          <w:szCs w:val="20"/>
        </w:rPr>
        <w:t xml:space="preserve"> regionali, con le regioni del Centro tra le più virtuose. Nel </w:t>
      </w:r>
      <w:r w:rsidRPr="00D63E81">
        <w:rPr>
          <w:rFonts w:ascii="Arial" w:eastAsiaTheme="minorEastAsia" w:hAnsi="Arial" w:cs="Arial"/>
          <w:sz w:val="20"/>
          <w:szCs w:val="20"/>
        </w:rPr>
        <w:t>Goal</w:t>
      </w:r>
      <w:r w:rsidRPr="00957924">
        <w:rPr>
          <w:rFonts w:ascii="Arial" w:eastAsiaTheme="minorEastAsia" w:hAnsi="Arial" w:cs="Arial"/>
          <w:sz w:val="20"/>
          <w:szCs w:val="20"/>
        </w:rPr>
        <w:t xml:space="preserve"> 14 </w:t>
      </w:r>
      <w:r w:rsidR="00087886">
        <w:rPr>
          <w:rFonts w:ascii="Arial" w:eastAsiaTheme="minorEastAsia" w:hAnsi="Arial" w:cs="Arial"/>
          <w:sz w:val="20"/>
          <w:szCs w:val="20"/>
        </w:rPr>
        <w:t xml:space="preserve">(Vita sott’acqua) </w:t>
      </w:r>
      <w:r w:rsidRPr="00957924">
        <w:rPr>
          <w:rFonts w:ascii="Arial" w:eastAsiaTheme="minorEastAsia" w:hAnsi="Arial" w:cs="Arial"/>
          <w:sz w:val="20"/>
          <w:szCs w:val="20"/>
        </w:rPr>
        <w:t>si riscontra un vantaggio maggiore per Toscana, Puglia, Basilicata e Calabria rispetto a Friuli-Venezia Giulia, Marche, Lazio, Abruzzo e Sicilia.</w:t>
      </w:r>
    </w:p>
    <w:p w14:paraId="1B982017" w14:textId="77777777" w:rsidR="00EB65D8" w:rsidRDefault="00EB65D8" w:rsidP="00D63E81">
      <w:pPr>
        <w:spacing w:after="120" w:line="240" w:lineRule="auto"/>
        <w:jc w:val="both"/>
        <w:rPr>
          <w:rFonts w:ascii="Arial" w:eastAsiaTheme="minorEastAsia" w:hAnsi="Arial" w:cs="Arial"/>
          <w:sz w:val="20"/>
          <w:szCs w:val="20"/>
        </w:rPr>
      </w:pPr>
    </w:p>
    <w:p w14:paraId="77DD4371" w14:textId="77777777" w:rsidR="00CA4DEB" w:rsidRDefault="00CA4DEB" w:rsidP="009A33E5">
      <w:pPr>
        <w:jc w:val="both"/>
        <w:rPr>
          <w:rFonts w:ascii="Arial" w:hAnsi="Arial" w:cs="Arial"/>
          <w:b/>
          <w:sz w:val="20"/>
          <w:szCs w:val="20"/>
        </w:rPr>
      </w:pPr>
      <w:r>
        <w:rPr>
          <w:rFonts w:ascii="Arial" w:hAnsi="Arial" w:cs="Arial"/>
          <w:b/>
          <w:sz w:val="20"/>
          <w:szCs w:val="20"/>
        </w:rPr>
        <w:br w:type="page"/>
      </w:r>
    </w:p>
    <w:p w14:paraId="54E9BCF5" w14:textId="5EF4FEBB" w:rsidR="009A33E5" w:rsidRPr="009A33E5" w:rsidRDefault="009A33E5" w:rsidP="009A33E5">
      <w:pPr>
        <w:jc w:val="both"/>
        <w:rPr>
          <w:rFonts w:ascii="Arial" w:eastAsiaTheme="minorEastAsia" w:hAnsi="Arial" w:cs="Arial"/>
          <w:sz w:val="20"/>
          <w:szCs w:val="20"/>
        </w:rPr>
      </w:pPr>
      <w:r w:rsidRPr="009A33E5">
        <w:rPr>
          <w:rFonts w:ascii="Arial" w:hAnsi="Arial" w:cs="Arial"/>
          <w:b/>
          <w:sz w:val="20"/>
          <w:szCs w:val="20"/>
        </w:rPr>
        <w:lastRenderedPageBreak/>
        <w:t xml:space="preserve">Figura 7 – Distanza delle regioni dalla </w:t>
      </w:r>
      <w:r w:rsidRPr="009A33E5">
        <w:rPr>
          <w:rFonts w:ascii="Arial" w:hAnsi="Arial" w:cs="Arial"/>
          <w:b/>
          <w:i/>
          <w:iCs/>
          <w:sz w:val="20"/>
          <w:szCs w:val="20"/>
        </w:rPr>
        <w:t>best performance</w:t>
      </w:r>
      <w:r w:rsidRPr="009A33E5">
        <w:rPr>
          <w:rFonts w:ascii="Arial" w:hAnsi="Arial" w:cs="Arial"/>
          <w:b/>
          <w:sz w:val="20"/>
          <w:szCs w:val="20"/>
        </w:rPr>
        <w:t xml:space="preserve"> per i </w:t>
      </w:r>
      <w:r w:rsidRPr="00D63E81">
        <w:rPr>
          <w:rFonts w:ascii="Arial" w:hAnsi="Arial" w:cs="Arial"/>
          <w:b/>
          <w:sz w:val="20"/>
          <w:szCs w:val="20"/>
        </w:rPr>
        <w:t>Goal</w:t>
      </w:r>
      <w:r w:rsidRPr="009A33E5">
        <w:rPr>
          <w:rFonts w:ascii="Arial" w:hAnsi="Arial" w:cs="Arial"/>
          <w:b/>
          <w:sz w:val="20"/>
          <w:szCs w:val="20"/>
        </w:rPr>
        <w:t xml:space="preserve"> dell’area </w:t>
      </w:r>
      <w:proofErr w:type="spellStart"/>
      <w:r w:rsidRPr="009A33E5">
        <w:rPr>
          <w:rFonts w:ascii="Arial" w:hAnsi="Arial" w:cs="Arial"/>
          <w:b/>
          <w:i/>
          <w:iCs/>
          <w:sz w:val="20"/>
          <w:szCs w:val="20"/>
        </w:rPr>
        <w:t>Prosperity</w:t>
      </w:r>
      <w:proofErr w:type="spellEnd"/>
      <w:r w:rsidRPr="009A33E5">
        <w:rPr>
          <w:rFonts w:ascii="Arial" w:hAnsi="Arial" w:cs="Arial"/>
          <w:b/>
          <w:sz w:val="20"/>
          <w:szCs w:val="20"/>
        </w:rPr>
        <w:t xml:space="preserve">. Anni 2012-2022 (a) </w:t>
      </w:r>
    </w:p>
    <w:p w14:paraId="0D9D78E8" w14:textId="7BE018D6" w:rsidR="009A33E5" w:rsidRDefault="00492FEB" w:rsidP="001626ED">
      <w:pPr>
        <w:jc w:val="both"/>
        <w:rPr>
          <w:rFonts w:ascii="Arial" w:eastAsiaTheme="minorEastAsia" w:hAnsi="Arial" w:cs="Arial"/>
          <w:sz w:val="20"/>
          <w:szCs w:val="20"/>
        </w:rPr>
      </w:pPr>
      <w:r>
        <w:rPr>
          <w:rFonts w:ascii="Arial" w:eastAsiaTheme="minorEastAsia" w:hAnsi="Arial" w:cs="Arial"/>
          <w:noProof/>
          <w:sz w:val="20"/>
          <w:szCs w:val="20"/>
          <w:lang w:eastAsia="it-IT"/>
        </w:rPr>
        <w:drawing>
          <wp:inline distT="0" distB="0" distL="0" distR="0" wp14:anchorId="5F25CDFD" wp14:editId="5C9D7784">
            <wp:extent cx="4179600" cy="4320000"/>
            <wp:effectExtent l="0" t="0" r="0" b="4445"/>
            <wp:docPr id="7" name="Immagine 7" descr="Immagine che contiene testo, schermata, Policromia, gial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testo, schermata, Policromia, giallo&#10;&#10;Descrizione generata automaticament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79600" cy="4320000"/>
                    </a:xfrm>
                    <a:prstGeom prst="rect">
                      <a:avLst/>
                    </a:prstGeom>
                  </pic:spPr>
                </pic:pic>
              </a:graphicData>
            </a:graphic>
          </wp:inline>
        </w:drawing>
      </w:r>
    </w:p>
    <w:p w14:paraId="2D705B98" w14:textId="3E4E5B97" w:rsidR="009A33E5" w:rsidRDefault="009A33E5" w:rsidP="009A33E5">
      <w:pPr>
        <w:pStyle w:val="Titolo2"/>
        <w:keepNext w:val="0"/>
        <w:keepLines w:val="0"/>
        <w:widowControl w:val="0"/>
        <w:numPr>
          <w:ilvl w:val="0"/>
          <w:numId w:val="28"/>
        </w:numPr>
        <w:autoSpaceDE w:val="0"/>
        <w:autoSpaceDN w:val="0"/>
        <w:spacing w:before="0" w:line="240" w:lineRule="auto"/>
        <w:jc w:val="both"/>
        <w:rPr>
          <w:rFonts w:ascii="Helvetica LT Std Cond" w:hAnsi="Helvetica LT Std Cond" w:cstheme="minorHAnsi"/>
          <w:sz w:val="14"/>
          <w:szCs w:val="14"/>
        </w:rPr>
      </w:pPr>
      <w:r w:rsidRPr="001C2F51">
        <w:rPr>
          <w:rFonts w:ascii="Helvetica LT Std Cond" w:hAnsi="Helvetica LT Std Cond" w:cstheme="minorHAnsi"/>
          <w:sz w:val="14"/>
          <w:szCs w:val="14"/>
        </w:rPr>
        <w:t xml:space="preserve">La distanza minima e la distanza massima sono calcolate relativamente a ogni </w:t>
      </w:r>
      <w:r w:rsidRPr="00D63E81">
        <w:rPr>
          <w:rFonts w:ascii="Helvetica LT Std Cond" w:hAnsi="Helvetica LT Std Cond" w:cstheme="minorHAnsi"/>
          <w:sz w:val="14"/>
          <w:szCs w:val="14"/>
        </w:rPr>
        <w:t>Goal</w:t>
      </w:r>
    </w:p>
    <w:p w14:paraId="07EDE2F5" w14:textId="39B19994" w:rsidR="009A33E5" w:rsidRDefault="009A33E5" w:rsidP="003172B4">
      <w:pPr>
        <w:spacing w:after="120" w:line="240" w:lineRule="auto"/>
        <w:jc w:val="both"/>
        <w:rPr>
          <w:rFonts w:ascii="Helvetica-Narrow-Bold" w:hAnsi="Helvetica-Narrow-Bold"/>
          <w:b/>
        </w:rPr>
      </w:pPr>
    </w:p>
    <w:p w14:paraId="544E278E" w14:textId="5293C659" w:rsidR="00087886" w:rsidRPr="00D30078" w:rsidRDefault="00087886" w:rsidP="003172B4">
      <w:pPr>
        <w:spacing w:after="120" w:line="240" w:lineRule="auto"/>
        <w:jc w:val="both"/>
        <w:rPr>
          <w:rFonts w:ascii="Arial" w:eastAsiaTheme="minorEastAsia" w:hAnsi="Arial" w:cs="Arial"/>
          <w:sz w:val="20"/>
          <w:szCs w:val="20"/>
        </w:rPr>
      </w:pPr>
      <w:r w:rsidRPr="00D30078">
        <w:rPr>
          <w:rFonts w:ascii="Arial" w:eastAsiaTheme="minorEastAsia" w:hAnsi="Arial" w:cs="Arial"/>
          <w:sz w:val="20"/>
          <w:szCs w:val="20"/>
        </w:rPr>
        <w:t xml:space="preserve">Nell’area </w:t>
      </w:r>
      <w:proofErr w:type="spellStart"/>
      <w:r w:rsidRPr="00D30078">
        <w:rPr>
          <w:rFonts w:ascii="Arial" w:eastAsiaTheme="minorEastAsia" w:hAnsi="Arial" w:cs="Arial"/>
          <w:i/>
          <w:sz w:val="20"/>
          <w:szCs w:val="20"/>
        </w:rPr>
        <w:t>Prosperity</w:t>
      </w:r>
      <w:proofErr w:type="spellEnd"/>
      <w:r w:rsidRPr="00D30078">
        <w:rPr>
          <w:rFonts w:ascii="Arial" w:eastAsiaTheme="minorEastAsia" w:hAnsi="Arial" w:cs="Arial"/>
          <w:sz w:val="20"/>
          <w:szCs w:val="20"/>
        </w:rPr>
        <w:t>, si osservano comportamenti eterogenei (Figura 7)</w:t>
      </w:r>
      <w:r w:rsidR="00F86425" w:rsidRPr="00D30078">
        <w:rPr>
          <w:rFonts w:ascii="Arial" w:eastAsiaTheme="minorEastAsia" w:hAnsi="Arial" w:cs="Arial"/>
          <w:sz w:val="20"/>
          <w:szCs w:val="20"/>
        </w:rPr>
        <w:t>.</w:t>
      </w:r>
      <w:r w:rsidRPr="00D30078">
        <w:rPr>
          <w:rFonts w:ascii="Arial" w:eastAsiaTheme="minorEastAsia" w:hAnsi="Arial" w:cs="Arial"/>
          <w:sz w:val="20"/>
          <w:szCs w:val="20"/>
        </w:rPr>
        <w:t xml:space="preserve"> Nei </w:t>
      </w:r>
      <w:r w:rsidRPr="003172B4">
        <w:rPr>
          <w:rFonts w:ascii="Arial" w:eastAsiaTheme="minorEastAsia" w:hAnsi="Arial" w:cs="Arial"/>
          <w:sz w:val="20"/>
          <w:szCs w:val="20"/>
        </w:rPr>
        <w:t>Goal</w:t>
      </w:r>
      <w:r w:rsidRPr="00D30078">
        <w:rPr>
          <w:rFonts w:ascii="Arial" w:eastAsiaTheme="minorEastAsia" w:hAnsi="Arial" w:cs="Arial"/>
          <w:sz w:val="20"/>
          <w:szCs w:val="20"/>
        </w:rPr>
        <w:t xml:space="preserve"> 8 (Lavoro e crescita economica) e 10 (</w:t>
      </w:r>
      <w:r w:rsidR="00D30078" w:rsidRPr="00D30078">
        <w:rPr>
          <w:rFonts w:ascii="Arial" w:hAnsi="Arial" w:cs="Arial"/>
          <w:sz w:val="20"/>
          <w:szCs w:val="20"/>
        </w:rPr>
        <w:t>Ridurre le d</w:t>
      </w:r>
      <w:r w:rsidRPr="00D30078">
        <w:rPr>
          <w:rFonts w:ascii="Arial" w:eastAsiaTheme="minorEastAsia" w:hAnsi="Arial" w:cs="Arial"/>
          <w:sz w:val="20"/>
          <w:szCs w:val="20"/>
        </w:rPr>
        <w:t xml:space="preserve">isuguaglianze) non si assiste a una riduzione delle disparità </w:t>
      </w:r>
      <w:r w:rsidR="00F86425" w:rsidRPr="00D30078">
        <w:rPr>
          <w:rFonts w:ascii="Arial" w:eastAsiaTheme="minorEastAsia" w:hAnsi="Arial" w:cs="Arial"/>
          <w:sz w:val="20"/>
          <w:szCs w:val="20"/>
        </w:rPr>
        <w:t xml:space="preserve">regionali e il Mezzogiorno resta considerevolmente più arretrato rispetto al Centro-Nord. </w:t>
      </w:r>
      <w:r w:rsidRPr="00D30078">
        <w:rPr>
          <w:rFonts w:ascii="Arial" w:eastAsiaTheme="minorEastAsia" w:hAnsi="Arial" w:cs="Arial"/>
          <w:sz w:val="20"/>
          <w:szCs w:val="20"/>
        </w:rPr>
        <w:t xml:space="preserve">I </w:t>
      </w:r>
      <w:r w:rsidRPr="003172B4">
        <w:rPr>
          <w:rFonts w:ascii="Arial" w:eastAsiaTheme="minorEastAsia" w:hAnsi="Arial" w:cs="Arial"/>
          <w:sz w:val="20"/>
          <w:szCs w:val="20"/>
        </w:rPr>
        <w:t>Goal</w:t>
      </w:r>
      <w:r w:rsidRPr="00D30078">
        <w:rPr>
          <w:rFonts w:ascii="Arial" w:eastAsiaTheme="minorEastAsia" w:hAnsi="Arial" w:cs="Arial"/>
          <w:sz w:val="20"/>
          <w:szCs w:val="20"/>
        </w:rPr>
        <w:t xml:space="preserve"> 7, 9 e 11 registrano invece un progressivo avvicinamento delle unità geografiche alla </w:t>
      </w:r>
      <w:proofErr w:type="spellStart"/>
      <w:r w:rsidRPr="00D30078">
        <w:rPr>
          <w:rFonts w:ascii="Arial" w:eastAsiaTheme="minorEastAsia" w:hAnsi="Arial" w:cs="Arial"/>
          <w:i/>
          <w:sz w:val="20"/>
          <w:szCs w:val="20"/>
        </w:rPr>
        <w:t>bp</w:t>
      </w:r>
      <w:proofErr w:type="spellEnd"/>
      <w:r w:rsidRPr="00D30078">
        <w:rPr>
          <w:rFonts w:ascii="Arial" w:eastAsiaTheme="minorEastAsia" w:hAnsi="Arial" w:cs="Arial"/>
          <w:sz w:val="20"/>
          <w:szCs w:val="20"/>
        </w:rPr>
        <w:t xml:space="preserve">, e una polarizzazione geografica meno pronunciata. </w:t>
      </w:r>
      <w:r w:rsidR="00F86425" w:rsidRPr="00D30078">
        <w:rPr>
          <w:rFonts w:ascii="Arial" w:eastAsiaTheme="minorEastAsia" w:hAnsi="Arial" w:cs="Arial"/>
          <w:sz w:val="20"/>
          <w:szCs w:val="20"/>
        </w:rPr>
        <w:t xml:space="preserve">I progressi più spiccati sono quelli del </w:t>
      </w:r>
      <w:r w:rsidR="00F86425" w:rsidRPr="003172B4">
        <w:rPr>
          <w:rFonts w:ascii="Arial" w:eastAsiaTheme="minorEastAsia" w:hAnsi="Arial" w:cs="Arial"/>
          <w:sz w:val="20"/>
          <w:szCs w:val="20"/>
        </w:rPr>
        <w:t>Goal</w:t>
      </w:r>
      <w:r w:rsidR="00F86425" w:rsidRPr="00D30078">
        <w:rPr>
          <w:rFonts w:ascii="Arial" w:eastAsiaTheme="minorEastAsia" w:hAnsi="Arial" w:cs="Arial"/>
          <w:sz w:val="20"/>
          <w:szCs w:val="20"/>
        </w:rPr>
        <w:t xml:space="preserve"> 7 (Energia</w:t>
      </w:r>
      <w:r w:rsidR="00107D0B" w:rsidRPr="00D30078">
        <w:rPr>
          <w:rFonts w:ascii="Arial" w:eastAsiaTheme="minorEastAsia" w:hAnsi="Arial" w:cs="Arial"/>
          <w:sz w:val="20"/>
          <w:szCs w:val="20"/>
        </w:rPr>
        <w:t xml:space="preserve"> pulita</w:t>
      </w:r>
      <w:r w:rsidR="00F86425" w:rsidRPr="00D30078">
        <w:rPr>
          <w:rFonts w:ascii="Arial" w:eastAsiaTheme="minorEastAsia" w:hAnsi="Arial" w:cs="Arial"/>
          <w:sz w:val="20"/>
          <w:szCs w:val="20"/>
        </w:rPr>
        <w:t xml:space="preserve">), grazie al sempre più ampio consumo di energia da fonti rinnovabili, e, soprattutto, del Goal 9 (Infrastrutture), che vede migliorare sensibilmente e continuativamente gli indicatori sulla digitalizzazione e sulla innovazione d’impresa. Nel </w:t>
      </w:r>
      <w:r w:rsidR="00F86425" w:rsidRPr="003172B4">
        <w:rPr>
          <w:rFonts w:ascii="Arial" w:eastAsiaTheme="minorEastAsia" w:hAnsi="Arial" w:cs="Arial"/>
          <w:sz w:val="20"/>
          <w:szCs w:val="20"/>
        </w:rPr>
        <w:t>Goal</w:t>
      </w:r>
      <w:r w:rsidR="00F86425" w:rsidRPr="00D30078">
        <w:rPr>
          <w:rFonts w:ascii="Arial" w:eastAsiaTheme="minorEastAsia" w:hAnsi="Arial" w:cs="Arial"/>
          <w:sz w:val="20"/>
          <w:szCs w:val="20"/>
        </w:rPr>
        <w:t xml:space="preserve"> 11 (Città sostenibili), sono soprattutto gli indicatori di abitabilità (percentuale di persone che vivono in abitazioni, sovraffollate, rumorose o con problemi strutturali o di umidità) a dare buoni risultati.</w:t>
      </w:r>
    </w:p>
    <w:p w14:paraId="0421F0D0" w14:textId="21C5F7D1" w:rsidR="00F86425" w:rsidRDefault="00107D0B" w:rsidP="003172B4">
      <w:pPr>
        <w:spacing w:after="120" w:line="240" w:lineRule="auto"/>
        <w:jc w:val="both"/>
        <w:rPr>
          <w:rFonts w:ascii="Arial" w:eastAsiaTheme="minorEastAsia" w:hAnsi="Arial" w:cs="Arial"/>
          <w:sz w:val="20"/>
          <w:szCs w:val="20"/>
        </w:rPr>
      </w:pPr>
      <w:r w:rsidRPr="00107D0B">
        <w:rPr>
          <w:rFonts w:ascii="Arial" w:hAnsi="Arial" w:cs="Arial"/>
          <w:sz w:val="20"/>
          <w:szCs w:val="20"/>
        </w:rPr>
        <w:t xml:space="preserve">Nella sezione </w:t>
      </w:r>
      <w:proofErr w:type="spellStart"/>
      <w:r w:rsidRPr="00107D0B">
        <w:rPr>
          <w:rFonts w:ascii="Arial" w:hAnsi="Arial" w:cs="Arial"/>
          <w:i/>
          <w:sz w:val="20"/>
          <w:szCs w:val="20"/>
        </w:rPr>
        <w:t>Peace</w:t>
      </w:r>
      <w:proofErr w:type="spellEnd"/>
      <w:r w:rsidRPr="00107D0B">
        <w:rPr>
          <w:rFonts w:ascii="Arial" w:hAnsi="Arial" w:cs="Arial"/>
          <w:sz w:val="20"/>
          <w:szCs w:val="20"/>
        </w:rPr>
        <w:t xml:space="preserve"> e </w:t>
      </w:r>
      <w:r w:rsidRPr="00107D0B">
        <w:rPr>
          <w:rFonts w:ascii="Arial" w:hAnsi="Arial" w:cs="Arial"/>
          <w:i/>
          <w:sz w:val="20"/>
          <w:szCs w:val="20"/>
        </w:rPr>
        <w:t>Partnership</w:t>
      </w:r>
      <w:r w:rsidRPr="00107D0B">
        <w:rPr>
          <w:rFonts w:ascii="Arial" w:hAnsi="Arial" w:cs="Arial"/>
          <w:sz w:val="20"/>
          <w:szCs w:val="20"/>
        </w:rPr>
        <w:t xml:space="preserve"> </w:t>
      </w:r>
      <w:r w:rsidRPr="00107D0B">
        <w:rPr>
          <w:rFonts w:ascii="Arial" w:eastAsiaTheme="minorEastAsia" w:hAnsi="Arial" w:cs="Arial"/>
          <w:sz w:val="20"/>
          <w:szCs w:val="20"/>
        </w:rPr>
        <w:t>(Figura 8)</w:t>
      </w:r>
      <w:r w:rsidRPr="00107D0B">
        <w:rPr>
          <w:rFonts w:ascii="Arial" w:hAnsi="Arial" w:cs="Arial"/>
          <w:sz w:val="20"/>
          <w:szCs w:val="20"/>
        </w:rPr>
        <w:t xml:space="preserve">, per il </w:t>
      </w:r>
      <w:r w:rsidRPr="003172B4">
        <w:rPr>
          <w:rFonts w:ascii="Arial" w:hAnsi="Arial" w:cs="Arial"/>
          <w:sz w:val="20"/>
          <w:szCs w:val="20"/>
        </w:rPr>
        <w:t>Goal</w:t>
      </w:r>
      <w:r w:rsidRPr="00107D0B">
        <w:rPr>
          <w:rFonts w:ascii="Arial" w:hAnsi="Arial" w:cs="Arial"/>
          <w:sz w:val="20"/>
          <w:szCs w:val="20"/>
        </w:rPr>
        <w:t xml:space="preserve"> 16 </w:t>
      </w:r>
      <w:r w:rsidRPr="00107D0B">
        <w:rPr>
          <w:rFonts w:ascii="Arial" w:eastAsiaTheme="minorEastAsia" w:hAnsi="Arial" w:cs="Arial"/>
          <w:sz w:val="20"/>
          <w:szCs w:val="20"/>
        </w:rPr>
        <w:t>(</w:t>
      </w:r>
      <w:r w:rsidRPr="00295459">
        <w:rPr>
          <w:rFonts w:ascii="Arial" w:eastAsia="Times New Roman" w:hAnsi="Arial" w:cs="Arial"/>
          <w:bCs/>
          <w:iCs/>
          <w:sz w:val="20"/>
          <w:szCs w:val="20"/>
        </w:rPr>
        <w:t>Pace, giustizia e istituzioni</w:t>
      </w:r>
      <w:r w:rsidRPr="00107D0B">
        <w:rPr>
          <w:rFonts w:ascii="Arial" w:eastAsiaTheme="minorEastAsia" w:hAnsi="Arial" w:cs="Arial"/>
          <w:sz w:val="20"/>
          <w:szCs w:val="20"/>
        </w:rPr>
        <w:t>), le distanze sono piuttosto stazionarie nel tempo, con qualche eccezione, come ad esempio il progresso di Trento e il regresso della Valle d’Aosta</w:t>
      </w:r>
      <w:r w:rsidR="008D219B">
        <w:t>/</w:t>
      </w:r>
      <w:proofErr w:type="spellStart"/>
      <w:r w:rsidR="008D219B" w:rsidRPr="003172B4">
        <w:rPr>
          <w:rFonts w:ascii="Arial" w:eastAsiaTheme="minorEastAsia" w:hAnsi="Arial" w:cs="Arial"/>
          <w:i/>
          <w:sz w:val="20"/>
          <w:szCs w:val="20"/>
        </w:rPr>
        <w:t>Vallée</w:t>
      </w:r>
      <w:proofErr w:type="spellEnd"/>
      <w:r w:rsidR="008D219B" w:rsidRPr="003172B4">
        <w:rPr>
          <w:rFonts w:ascii="Arial" w:eastAsiaTheme="minorEastAsia" w:hAnsi="Arial" w:cs="Arial"/>
          <w:i/>
          <w:sz w:val="20"/>
          <w:szCs w:val="20"/>
        </w:rPr>
        <w:t xml:space="preserve"> d'</w:t>
      </w:r>
      <w:proofErr w:type="spellStart"/>
      <w:r w:rsidR="008D219B" w:rsidRPr="003172B4">
        <w:rPr>
          <w:rFonts w:ascii="Arial" w:eastAsiaTheme="minorEastAsia" w:hAnsi="Arial" w:cs="Arial"/>
          <w:i/>
          <w:sz w:val="20"/>
          <w:szCs w:val="20"/>
        </w:rPr>
        <w:t>Aoste</w:t>
      </w:r>
      <w:proofErr w:type="spellEnd"/>
      <w:r w:rsidRPr="00107D0B">
        <w:rPr>
          <w:rFonts w:ascii="Arial" w:eastAsiaTheme="minorEastAsia" w:hAnsi="Arial" w:cs="Arial"/>
          <w:sz w:val="20"/>
          <w:szCs w:val="20"/>
        </w:rPr>
        <w:t xml:space="preserve">. </w:t>
      </w:r>
      <w:r w:rsidRPr="00107D0B">
        <w:rPr>
          <w:rFonts w:ascii="Arial" w:hAnsi="Arial" w:cs="Arial"/>
          <w:sz w:val="20"/>
          <w:szCs w:val="20"/>
        </w:rPr>
        <w:t xml:space="preserve">Il </w:t>
      </w:r>
      <w:r w:rsidRPr="003172B4">
        <w:rPr>
          <w:rFonts w:ascii="Arial" w:hAnsi="Arial" w:cs="Arial"/>
          <w:sz w:val="20"/>
          <w:szCs w:val="20"/>
        </w:rPr>
        <w:t>Goal</w:t>
      </w:r>
      <w:r w:rsidRPr="00107D0B">
        <w:rPr>
          <w:rFonts w:ascii="Arial" w:hAnsi="Arial" w:cs="Arial"/>
          <w:sz w:val="20"/>
          <w:szCs w:val="20"/>
        </w:rPr>
        <w:t xml:space="preserve"> 17 (</w:t>
      </w:r>
      <w:r w:rsidRPr="003172B4">
        <w:rPr>
          <w:rFonts w:ascii="Arial" w:hAnsi="Arial" w:cs="Arial"/>
          <w:sz w:val="20"/>
          <w:szCs w:val="20"/>
        </w:rPr>
        <w:t>Partnership</w:t>
      </w:r>
      <w:r>
        <w:rPr>
          <w:rFonts w:ascii="Arial" w:hAnsi="Arial" w:cs="Arial"/>
          <w:sz w:val="20"/>
          <w:szCs w:val="20"/>
        </w:rPr>
        <w:t xml:space="preserve"> per gli obiettivi</w:t>
      </w:r>
      <w:r w:rsidRPr="00107D0B">
        <w:rPr>
          <w:rFonts w:ascii="Arial" w:hAnsi="Arial" w:cs="Arial"/>
          <w:sz w:val="20"/>
          <w:szCs w:val="20"/>
        </w:rPr>
        <w:t xml:space="preserve">) presenta un diffuso miglioramento, particolarmente evidente dopo il 2017, trainato soprattutto dall’aumento delle rimesse degli immigrati e, in seconda battuta, dai risultati favorevoli degli indicatori riguardanti l’uso dell’ICT. </w:t>
      </w:r>
      <w:r w:rsidRPr="00107D0B">
        <w:rPr>
          <w:rFonts w:ascii="Arial" w:eastAsiaTheme="minorEastAsia" w:hAnsi="Arial" w:cs="Arial"/>
          <w:sz w:val="20"/>
          <w:szCs w:val="20"/>
        </w:rPr>
        <w:t>Tuttavia, le differenze tra le regioni del Centro-Nord e le regioni del Mezzogiorno permangono.</w:t>
      </w:r>
    </w:p>
    <w:p w14:paraId="4BE9DD9B" w14:textId="50FB1C30" w:rsidR="00AA6E45" w:rsidRDefault="00AA6E45" w:rsidP="003172B4">
      <w:pPr>
        <w:spacing w:after="120" w:line="240" w:lineRule="auto"/>
        <w:jc w:val="both"/>
        <w:rPr>
          <w:rFonts w:ascii="Arial" w:eastAsiaTheme="minorEastAsia" w:hAnsi="Arial" w:cs="Arial"/>
          <w:sz w:val="20"/>
          <w:szCs w:val="20"/>
        </w:rPr>
      </w:pPr>
    </w:p>
    <w:p w14:paraId="4C754A3C" w14:textId="6D9DEC33" w:rsidR="00AA6E45" w:rsidRDefault="00AA6E45" w:rsidP="003172B4">
      <w:pPr>
        <w:spacing w:after="120" w:line="240" w:lineRule="auto"/>
        <w:jc w:val="both"/>
        <w:rPr>
          <w:rFonts w:ascii="Arial" w:eastAsiaTheme="minorEastAsia" w:hAnsi="Arial" w:cs="Arial"/>
          <w:sz w:val="20"/>
          <w:szCs w:val="20"/>
        </w:rPr>
      </w:pPr>
    </w:p>
    <w:p w14:paraId="5E7B465A" w14:textId="460A42DD" w:rsidR="00FB2B9D" w:rsidRDefault="00FB2B9D" w:rsidP="003172B4">
      <w:pPr>
        <w:spacing w:after="120" w:line="240" w:lineRule="auto"/>
        <w:jc w:val="both"/>
        <w:rPr>
          <w:rFonts w:ascii="Arial" w:eastAsiaTheme="minorEastAsia" w:hAnsi="Arial" w:cs="Arial"/>
          <w:sz w:val="20"/>
          <w:szCs w:val="20"/>
        </w:rPr>
      </w:pPr>
    </w:p>
    <w:p w14:paraId="12B4054F" w14:textId="352C9BD3" w:rsidR="00FB2B9D" w:rsidRDefault="00FB2B9D" w:rsidP="003172B4">
      <w:pPr>
        <w:spacing w:after="120" w:line="240" w:lineRule="auto"/>
        <w:jc w:val="both"/>
        <w:rPr>
          <w:rFonts w:ascii="Arial" w:eastAsiaTheme="minorEastAsia" w:hAnsi="Arial" w:cs="Arial"/>
          <w:sz w:val="20"/>
          <w:szCs w:val="20"/>
        </w:rPr>
      </w:pPr>
    </w:p>
    <w:p w14:paraId="0B62BF1A" w14:textId="77777777" w:rsidR="00FB2B9D" w:rsidRPr="00107D0B" w:rsidRDefault="00FB2B9D" w:rsidP="003172B4">
      <w:pPr>
        <w:spacing w:after="120" w:line="240" w:lineRule="auto"/>
        <w:jc w:val="both"/>
        <w:rPr>
          <w:rFonts w:ascii="Arial" w:eastAsiaTheme="minorEastAsia" w:hAnsi="Arial" w:cs="Arial"/>
          <w:sz w:val="20"/>
          <w:szCs w:val="20"/>
        </w:rPr>
      </w:pPr>
    </w:p>
    <w:p w14:paraId="62666780" w14:textId="6FAE660F" w:rsidR="009A33E5" w:rsidRPr="009A33E5" w:rsidRDefault="009A33E5" w:rsidP="009A33E5">
      <w:pPr>
        <w:jc w:val="both"/>
        <w:rPr>
          <w:rFonts w:ascii="Arial" w:eastAsiaTheme="minorEastAsia" w:hAnsi="Arial" w:cs="Arial"/>
          <w:sz w:val="20"/>
          <w:szCs w:val="20"/>
        </w:rPr>
      </w:pPr>
      <w:r>
        <w:rPr>
          <w:rFonts w:ascii="Arial" w:hAnsi="Arial" w:cs="Arial"/>
          <w:b/>
          <w:sz w:val="20"/>
          <w:szCs w:val="20"/>
        </w:rPr>
        <w:lastRenderedPageBreak/>
        <w:t>Figura 8</w:t>
      </w:r>
      <w:r w:rsidRPr="009A33E5">
        <w:rPr>
          <w:rFonts w:ascii="Arial" w:hAnsi="Arial" w:cs="Arial"/>
          <w:b/>
          <w:sz w:val="20"/>
          <w:szCs w:val="20"/>
        </w:rPr>
        <w:t xml:space="preserve"> – Distanza delle regioni dalla </w:t>
      </w:r>
      <w:r w:rsidRPr="009A33E5">
        <w:rPr>
          <w:rFonts w:ascii="Arial" w:hAnsi="Arial" w:cs="Arial"/>
          <w:b/>
          <w:i/>
          <w:iCs/>
          <w:sz w:val="20"/>
          <w:szCs w:val="20"/>
        </w:rPr>
        <w:t>best performance</w:t>
      </w:r>
      <w:r w:rsidRPr="009A33E5">
        <w:rPr>
          <w:rFonts w:ascii="Arial" w:hAnsi="Arial" w:cs="Arial"/>
          <w:b/>
          <w:sz w:val="20"/>
          <w:szCs w:val="20"/>
        </w:rPr>
        <w:t xml:space="preserve"> per i </w:t>
      </w:r>
      <w:r w:rsidRPr="003172B4">
        <w:rPr>
          <w:rFonts w:ascii="Arial" w:hAnsi="Arial" w:cs="Arial"/>
          <w:b/>
          <w:sz w:val="20"/>
          <w:szCs w:val="20"/>
        </w:rPr>
        <w:t>Goal</w:t>
      </w:r>
      <w:r w:rsidRPr="009A33E5">
        <w:rPr>
          <w:rFonts w:ascii="Arial" w:hAnsi="Arial" w:cs="Arial"/>
          <w:b/>
          <w:sz w:val="20"/>
          <w:szCs w:val="20"/>
        </w:rPr>
        <w:t xml:space="preserve"> delle aree </w:t>
      </w:r>
      <w:proofErr w:type="spellStart"/>
      <w:r w:rsidRPr="009A33E5">
        <w:rPr>
          <w:rFonts w:ascii="Arial" w:hAnsi="Arial" w:cs="Arial"/>
          <w:b/>
          <w:i/>
          <w:iCs/>
          <w:sz w:val="20"/>
          <w:szCs w:val="20"/>
        </w:rPr>
        <w:t>Peace</w:t>
      </w:r>
      <w:proofErr w:type="spellEnd"/>
      <w:r w:rsidRPr="009A33E5">
        <w:rPr>
          <w:rFonts w:ascii="Arial" w:hAnsi="Arial" w:cs="Arial"/>
          <w:b/>
          <w:i/>
          <w:iCs/>
          <w:sz w:val="20"/>
          <w:szCs w:val="20"/>
        </w:rPr>
        <w:t xml:space="preserve"> </w:t>
      </w:r>
      <w:r w:rsidRPr="009A33E5">
        <w:rPr>
          <w:rFonts w:ascii="Arial" w:hAnsi="Arial" w:cs="Arial"/>
          <w:b/>
          <w:sz w:val="20"/>
          <w:szCs w:val="20"/>
        </w:rPr>
        <w:t xml:space="preserve">e </w:t>
      </w:r>
      <w:r w:rsidRPr="009A33E5">
        <w:rPr>
          <w:rFonts w:ascii="Arial" w:hAnsi="Arial" w:cs="Arial"/>
          <w:b/>
          <w:i/>
          <w:iCs/>
          <w:sz w:val="20"/>
          <w:szCs w:val="20"/>
        </w:rPr>
        <w:t>Partnership</w:t>
      </w:r>
      <w:r w:rsidRPr="009A33E5">
        <w:rPr>
          <w:rFonts w:ascii="Arial" w:hAnsi="Arial" w:cs="Arial"/>
          <w:b/>
          <w:sz w:val="20"/>
          <w:szCs w:val="20"/>
        </w:rPr>
        <w:t xml:space="preserve">. Anni 2015-2022 (a) </w:t>
      </w:r>
    </w:p>
    <w:p w14:paraId="5F1C9648" w14:textId="18FD1BA1" w:rsidR="009A33E5" w:rsidRDefault="00492FEB" w:rsidP="009A33E5">
      <w:r>
        <w:rPr>
          <w:noProof/>
          <w:lang w:eastAsia="it-IT"/>
        </w:rPr>
        <w:drawing>
          <wp:inline distT="0" distB="0" distL="0" distR="0" wp14:anchorId="4119A74F" wp14:editId="18D16E70">
            <wp:extent cx="3042000" cy="2556000"/>
            <wp:effectExtent l="0" t="0" r="6350" b="0"/>
            <wp:docPr id="8" name="Immagine 8" descr="Immagine che contiene testo, schermata, giallo, Policrom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testo, schermata, giallo, Policromia&#10;&#10;Descrizione generata automaticament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42000" cy="2556000"/>
                    </a:xfrm>
                    <a:prstGeom prst="rect">
                      <a:avLst/>
                    </a:prstGeom>
                  </pic:spPr>
                </pic:pic>
              </a:graphicData>
            </a:graphic>
          </wp:inline>
        </w:drawing>
      </w:r>
      <w:bookmarkStart w:id="0" w:name="_GoBack"/>
      <w:bookmarkEnd w:id="0"/>
    </w:p>
    <w:p w14:paraId="5B078C94" w14:textId="77777777" w:rsidR="009A33E5" w:rsidRPr="001C2F51" w:rsidRDefault="009A33E5" w:rsidP="00451C8C">
      <w:pPr>
        <w:pStyle w:val="Titolo2"/>
        <w:keepNext w:val="0"/>
        <w:keepLines w:val="0"/>
        <w:widowControl w:val="0"/>
        <w:numPr>
          <w:ilvl w:val="0"/>
          <w:numId w:val="29"/>
        </w:numPr>
        <w:autoSpaceDE w:val="0"/>
        <w:autoSpaceDN w:val="0"/>
        <w:adjustRightInd w:val="0"/>
        <w:spacing w:before="0" w:line="240" w:lineRule="auto"/>
        <w:jc w:val="both"/>
        <w:rPr>
          <w:rFonts w:ascii="Helvetica LT Std Cond" w:hAnsi="Helvetica LT Std Cond" w:cstheme="minorHAnsi"/>
          <w:sz w:val="14"/>
          <w:szCs w:val="14"/>
        </w:rPr>
      </w:pPr>
      <w:r w:rsidRPr="00041E52">
        <w:rPr>
          <w:rFonts w:ascii="Helvetica LT Std Cond" w:hAnsi="Helvetica LT Std Cond" w:cstheme="minorHAnsi"/>
          <w:sz w:val="14"/>
          <w:szCs w:val="14"/>
        </w:rPr>
        <w:t>La distanza minima e la distanza massima sono calcolate relativamente a ogni Goal</w:t>
      </w:r>
    </w:p>
    <w:sectPr w:rsidR="009A33E5" w:rsidRPr="001C2F51" w:rsidSect="00D15529">
      <w:headerReference w:type="default" r:id="rId34"/>
      <w:footerReference w:type="default" r:id="rId35"/>
      <w:headerReference w:type="first" r:id="rId36"/>
      <w:pgSz w:w="11906" w:h="16838"/>
      <w:pgMar w:top="1417" w:right="1134" w:bottom="1134" w:left="1134" w:header="708" w:footer="4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A4D3BB" w14:textId="77777777" w:rsidR="00B57865" w:rsidRDefault="00B57865" w:rsidP="006B5A9E">
      <w:pPr>
        <w:spacing w:after="0" w:line="240" w:lineRule="auto"/>
      </w:pPr>
      <w:r>
        <w:separator/>
      </w:r>
    </w:p>
  </w:endnote>
  <w:endnote w:type="continuationSeparator" w:id="0">
    <w:p w14:paraId="0BAD5E5B" w14:textId="77777777" w:rsidR="00B57865" w:rsidRDefault="00B57865" w:rsidP="006B5A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LT Std Cond">
    <w:altName w:val="Times New Roman"/>
    <w:charset w:val="00"/>
    <w:family w:val="auto"/>
    <w:pitch w:val="variable"/>
    <w:sig w:usb0="E00002FF" w:usb1="5000785B" w:usb2="00000000" w:usb3="00000000" w:csb0="0000019F" w:csb1="00000000"/>
  </w:font>
  <w:font w:name="HelveticaLTStd-Cond">
    <w:altName w:val="MS Gothic"/>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 w:name="DIN">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arrow-Bold">
    <w:altName w:val="Arial"/>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3481863"/>
      <w:docPartObj>
        <w:docPartGallery w:val="Page Numbers (Bottom of Page)"/>
        <w:docPartUnique/>
      </w:docPartObj>
    </w:sdtPr>
    <w:sdtEndPr/>
    <w:sdtContent>
      <w:p w14:paraId="1EDDE63D" w14:textId="5F4C7CC9" w:rsidR="00582270" w:rsidRDefault="00582270">
        <w:pPr>
          <w:pStyle w:val="Pidipagina"/>
        </w:pPr>
        <w:r>
          <w:fldChar w:fldCharType="begin"/>
        </w:r>
        <w:r>
          <w:instrText>PAGE   \* MERGEFORMAT</w:instrText>
        </w:r>
        <w:r>
          <w:fldChar w:fldCharType="separate"/>
        </w:r>
        <w:r w:rsidR="00284D16">
          <w:rPr>
            <w:noProof/>
          </w:rPr>
          <w:t>12</w:t>
        </w:r>
        <w:r>
          <w:fldChar w:fldCharType="end"/>
        </w:r>
      </w:p>
    </w:sdtContent>
  </w:sdt>
  <w:p w14:paraId="41D6772B" w14:textId="77777777" w:rsidR="00582270" w:rsidRDefault="00582270">
    <w:pPr>
      <w:pStyle w:val="Pidipagina"/>
    </w:pPr>
  </w:p>
  <w:p w14:paraId="6B316B16" w14:textId="77777777" w:rsidR="00582270" w:rsidRDefault="0058227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834FF0" w14:textId="77777777" w:rsidR="00B57865" w:rsidRDefault="00B57865" w:rsidP="006B5A9E">
      <w:pPr>
        <w:spacing w:after="0" w:line="240" w:lineRule="auto"/>
      </w:pPr>
      <w:r>
        <w:separator/>
      </w:r>
    </w:p>
  </w:footnote>
  <w:footnote w:type="continuationSeparator" w:id="0">
    <w:p w14:paraId="75E4E820" w14:textId="77777777" w:rsidR="00B57865" w:rsidRDefault="00B57865" w:rsidP="006B5A9E">
      <w:pPr>
        <w:spacing w:after="0" w:line="240" w:lineRule="auto"/>
      </w:pPr>
      <w:r>
        <w:continuationSeparator/>
      </w:r>
    </w:p>
  </w:footnote>
  <w:footnote w:id="1">
    <w:p w14:paraId="3FC6A0A0" w14:textId="77777777" w:rsidR="00582270" w:rsidRDefault="00582270" w:rsidP="00B3434C">
      <w:pPr>
        <w:pStyle w:val="Testonotaapidipagina"/>
        <w:jc w:val="both"/>
      </w:pPr>
      <w:r w:rsidRPr="00BA6084">
        <w:rPr>
          <w:rStyle w:val="Rimandonotaapidipagina"/>
          <w:rFonts w:ascii="Arial" w:hAnsi="Arial" w:cs="Arial"/>
          <w:sz w:val="16"/>
          <w:szCs w:val="16"/>
        </w:rPr>
        <w:footnoteRef/>
      </w:r>
      <w:r>
        <w:rPr>
          <w:rFonts w:ascii="Arial" w:hAnsi="Arial" w:cs="Arial"/>
          <w:sz w:val="16"/>
          <w:szCs w:val="16"/>
        </w:rPr>
        <w:t xml:space="preserve"> </w:t>
      </w:r>
      <w:r w:rsidRPr="00BA6084">
        <w:rPr>
          <w:rFonts w:ascii="Arial" w:hAnsi="Arial" w:cs="Arial"/>
          <w:sz w:val="16"/>
          <w:szCs w:val="16"/>
        </w:rPr>
        <w:t xml:space="preserve">Il 25 settembre 2015 l’Assemblea Generale delle Nazioni Unite ha adottato l’Agenda 2030 per lo sviluppo sostenibile (UN </w:t>
      </w:r>
      <w:proofErr w:type="spellStart"/>
      <w:r w:rsidRPr="00BA6084">
        <w:rPr>
          <w:rFonts w:ascii="Arial" w:hAnsi="Arial" w:cs="Arial"/>
          <w:sz w:val="16"/>
          <w:szCs w:val="16"/>
        </w:rPr>
        <w:t>Resolution</w:t>
      </w:r>
      <w:proofErr w:type="spellEnd"/>
      <w:r w:rsidRPr="00BA6084">
        <w:rPr>
          <w:rFonts w:ascii="Arial" w:hAnsi="Arial" w:cs="Arial"/>
          <w:sz w:val="16"/>
          <w:szCs w:val="16"/>
        </w:rPr>
        <w:t xml:space="preserve"> A7RES/70/1, New York).</w:t>
      </w:r>
    </w:p>
  </w:footnote>
  <w:footnote w:id="2">
    <w:p w14:paraId="37C2270E" w14:textId="7613292C" w:rsidR="00582270" w:rsidRPr="00890323" w:rsidRDefault="00582270" w:rsidP="00B3434C">
      <w:pPr>
        <w:pStyle w:val="Testonotaapidipagina"/>
        <w:jc w:val="both"/>
        <w:rPr>
          <w:rFonts w:ascii="Arial" w:eastAsiaTheme="minorHAnsi" w:hAnsi="Arial" w:cs="Arial"/>
          <w:color w:val="000000"/>
          <w:sz w:val="16"/>
          <w:szCs w:val="16"/>
          <w:shd w:val="clear" w:color="auto" w:fill="FFFFFF"/>
          <w:lang w:eastAsia="en-US" w:bidi="ar-SA"/>
        </w:rPr>
      </w:pPr>
      <w:r>
        <w:rPr>
          <w:rStyle w:val="Rimandonotaapidipagina"/>
        </w:rPr>
        <w:footnoteRef/>
      </w:r>
      <w:r>
        <w:t xml:space="preserve"> </w:t>
      </w:r>
      <w:r w:rsidRPr="00890323">
        <w:rPr>
          <w:rFonts w:ascii="Arial" w:eastAsiaTheme="minorHAnsi" w:hAnsi="Arial" w:cs="Arial"/>
          <w:color w:val="000000"/>
          <w:sz w:val="16"/>
          <w:szCs w:val="16"/>
          <w:shd w:val="clear" w:color="auto" w:fill="FFFFFF"/>
          <w:lang w:eastAsia="en-US" w:bidi="ar-SA"/>
        </w:rPr>
        <w:t xml:space="preserve">Questo totale </w:t>
      </w:r>
      <w:r>
        <w:rPr>
          <w:rFonts w:ascii="Arial" w:eastAsiaTheme="minorHAnsi" w:hAnsi="Arial" w:cs="Arial"/>
          <w:color w:val="000000"/>
          <w:sz w:val="16"/>
          <w:szCs w:val="16"/>
          <w:shd w:val="clear" w:color="auto" w:fill="FFFFFF"/>
          <w:lang w:eastAsia="en-US" w:bidi="ar-SA"/>
        </w:rPr>
        <w:t>comprende</w:t>
      </w:r>
      <w:r w:rsidRPr="00890323">
        <w:rPr>
          <w:rFonts w:ascii="Arial" w:eastAsiaTheme="minorHAnsi" w:hAnsi="Arial" w:cs="Arial"/>
          <w:color w:val="000000"/>
          <w:sz w:val="16"/>
          <w:szCs w:val="16"/>
          <w:shd w:val="clear" w:color="auto" w:fill="FFFFFF"/>
          <w:lang w:eastAsia="en-US" w:bidi="ar-SA"/>
        </w:rPr>
        <w:t xml:space="preserve"> anche </w:t>
      </w:r>
      <w:r>
        <w:rPr>
          <w:rFonts w:ascii="Arial" w:eastAsiaTheme="minorHAnsi" w:hAnsi="Arial" w:cs="Arial"/>
          <w:color w:val="000000"/>
          <w:sz w:val="16"/>
          <w:szCs w:val="16"/>
          <w:shd w:val="clear" w:color="auto" w:fill="FFFFFF"/>
          <w:lang w:eastAsia="en-US" w:bidi="ar-SA"/>
        </w:rPr>
        <w:t xml:space="preserve">le </w:t>
      </w:r>
      <w:r w:rsidRPr="00890323">
        <w:rPr>
          <w:rFonts w:ascii="Arial" w:eastAsiaTheme="minorHAnsi" w:hAnsi="Arial" w:cs="Arial"/>
          <w:color w:val="000000"/>
          <w:sz w:val="16"/>
          <w:szCs w:val="16"/>
          <w:shd w:val="clear" w:color="auto" w:fill="FFFFFF"/>
          <w:lang w:eastAsia="en-US" w:bidi="ar-SA"/>
        </w:rPr>
        <w:t xml:space="preserve">misure statistiche che hanno una rappresentazione in differenti </w:t>
      </w:r>
      <w:r w:rsidRPr="003172B4">
        <w:rPr>
          <w:rFonts w:ascii="Arial" w:eastAsiaTheme="minorHAnsi" w:hAnsi="Arial" w:cs="Arial"/>
          <w:color w:val="000000"/>
          <w:sz w:val="16"/>
          <w:szCs w:val="16"/>
          <w:shd w:val="clear" w:color="auto" w:fill="FFFFFF"/>
          <w:lang w:eastAsia="en-US" w:bidi="ar-SA"/>
        </w:rPr>
        <w:t>Goal</w:t>
      </w:r>
      <w:r w:rsidRPr="00890323">
        <w:rPr>
          <w:rFonts w:ascii="Arial" w:eastAsiaTheme="minorHAnsi" w:hAnsi="Arial" w:cs="Arial"/>
          <w:color w:val="000000"/>
          <w:sz w:val="16"/>
          <w:szCs w:val="16"/>
          <w:shd w:val="clear" w:color="auto" w:fill="FFFFFF"/>
          <w:lang w:eastAsia="en-US" w:bidi="ar-SA"/>
        </w:rPr>
        <w:t xml:space="preserve">. Nel complesso le misure differenti sono </w:t>
      </w:r>
      <w:r>
        <w:rPr>
          <w:rFonts w:ascii="Arial" w:eastAsiaTheme="minorHAnsi" w:hAnsi="Arial" w:cs="Arial"/>
          <w:color w:val="000000"/>
          <w:sz w:val="16"/>
          <w:szCs w:val="16"/>
          <w:shd w:val="clear" w:color="auto" w:fill="FFFFFF"/>
          <w:lang w:eastAsia="en-US" w:bidi="ar-SA"/>
        </w:rPr>
        <w:t>342</w:t>
      </w:r>
      <w:r w:rsidRPr="00890323">
        <w:rPr>
          <w:rFonts w:ascii="Arial" w:eastAsiaTheme="minorHAnsi" w:hAnsi="Arial" w:cs="Arial"/>
          <w:color w:val="000000"/>
          <w:sz w:val="16"/>
          <w:szCs w:val="16"/>
          <w:shd w:val="clear" w:color="auto" w:fill="FFFFFF"/>
          <w:lang w:eastAsia="en-US" w:bidi="ar-SA"/>
        </w:rPr>
        <w:t xml:space="preserve">. </w:t>
      </w:r>
    </w:p>
  </w:footnote>
  <w:footnote w:id="3">
    <w:p w14:paraId="2ACDC9E2" w14:textId="7CA20BC2" w:rsidR="00582270" w:rsidRDefault="00582270" w:rsidP="003172B4">
      <w:pPr>
        <w:spacing w:after="0" w:line="240" w:lineRule="auto"/>
        <w:jc w:val="both"/>
        <w:rPr>
          <w:rFonts w:cs="Courier New"/>
          <w:color w:val="333333"/>
          <w:sz w:val="18"/>
          <w:szCs w:val="18"/>
          <w:shd w:val="clear" w:color="auto" w:fill="FDFDFC"/>
        </w:rPr>
      </w:pPr>
      <w:r w:rsidRPr="00BA6084">
        <w:rPr>
          <w:rStyle w:val="Rimandonotaapidipagina"/>
          <w:rFonts w:ascii="Arial" w:hAnsi="Arial" w:cs="Arial"/>
          <w:sz w:val="16"/>
          <w:szCs w:val="16"/>
        </w:rPr>
        <w:footnoteRef/>
      </w:r>
      <w:r>
        <w:rPr>
          <w:rFonts w:ascii="Arial" w:hAnsi="Arial" w:cs="Arial"/>
          <w:color w:val="000000"/>
          <w:sz w:val="16"/>
          <w:szCs w:val="16"/>
          <w:shd w:val="clear" w:color="auto" w:fill="FFFFFF"/>
        </w:rPr>
        <w:t xml:space="preserve"> </w:t>
      </w:r>
      <w:r w:rsidRPr="00A871EF">
        <w:rPr>
          <w:rFonts w:ascii="Arial" w:hAnsi="Arial" w:cs="Arial"/>
          <w:color w:val="333333"/>
          <w:sz w:val="16"/>
          <w:szCs w:val="16"/>
          <w:shd w:val="clear" w:color="auto" w:fill="FDFDFC"/>
        </w:rPr>
        <w:t>Le misure statistiche sono state elaborate attraverso le collaborazioni sviluppate sia nell’ambito del Sistema statistico nazionale (</w:t>
      </w:r>
      <w:proofErr w:type="spellStart"/>
      <w:r w:rsidRPr="00A871EF">
        <w:rPr>
          <w:rFonts w:ascii="Arial" w:hAnsi="Arial" w:cs="Arial"/>
          <w:color w:val="333333"/>
          <w:sz w:val="16"/>
          <w:szCs w:val="16"/>
          <w:shd w:val="clear" w:color="auto" w:fill="FDFDFC"/>
        </w:rPr>
        <w:t>Sistan</w:t>
      </w:r>
      <w:proofErr w:type="spellEnd"/>
      <w:r w:rsidRPr="00A871EF">
        <w:rPr>
          <w:rFonts w:ascii="Arial" w:hAnsi="Arial" w:cs="Arial"/>
          <w:color w:val="333333"/>
          <w:sz w:val="16"/>
          <w:szCs w:val="16"/>
          <w:shd w:val="clear" w:color="auto" w:fill="FDFDFC"/>
        </w:rPr>
        <w:t xml:space="preserve">) sia con istituzioni esterne al </w:t>
      </w:r>
      <w:proofErr w:type="spellStart"/>
      <w:r w:rsidRPr="00A871EF">
        <w:rPr>
          <w:rFonts w:ascii="Arial" w:hAnsi="Arial" w:cs="Arial"/>
          <w:color w:val="333333"/>
          <w:sz w:val="16"/>
          <w:szCs w:val="16"/>
          <w:shd w:val="clear" w:color="auto" w:fill="FDFDFC"/>
        </w:rPr>
        <w:t>Sistan</w:t>
      </w:r>
      <w:proofErr w:type="spellEnd"/>
      <w:r w:rsidRPr="00A871EF">
        <w:rPr>
          <w:rFonts w:ascii="Arial" w:hAnsi="Arial" w:cs="Arial"/>
          <w:color w:val="333333"/>
          <w:sz w:val="16"/>
          <w:szCs w:val="16"/>
          <w:shd w:val="clear" w:color="auto" w:fill="FDFDFC"/>
        </w:rPr>
        <w:t xml:space="preserve">. In particolare: </w:t>
      </w:r>
      <w:proofErr w:type="spellStart"/>
      <w:r w:rsidRPr="00A871EF">
        <w:rPr>
          <w:rFonts w:ascii="Arial" w:hAnsi="Arial" w:cs="Arial"/>
          <w:color w:val="333333"/>
          <w:sz w:val="16"/>
          <w:szCs w:val="16"/>
          <w:shd w:val="clear" w:color="auto" w:fill="FDFDFC"/>
        </w:rPr>
        <w:t>ASviS</w:t>
      </w:r>
      <w:proofErr w:type="spellEnd"/>
      <w:r w:rsidRPr="00A871EF">
        <w:rPr>
          <w:rFonts w:ascii="Arial" w:hAnsi="Arial" w:cs="Arial"/>
          <w:color w:val="333333"/>
          <w:sz w:val="16"/>
          <w:szCs w:val="16"/>
          <w:shd w:val="clear" w:color="auto" w:fill="FDFDFC"/>
        </w:rPr>
        <w:t xml:space="preserve">, Banca d’Italia, Consob, CREA, Enea, FAO, GSE </w:t>
      </w:r>
      <w:proofErr w:type="spellStart"/>
      <w:r w:rsidRPr="00A871EF">
        <w:rPr>
          <w:rFonts w:ascii="Arial" w:hAnsi="Arial" w:cs="Arial"/>
          <w:color w:val="333333"/>
          <w:sz w:val="16"/>
          <w:szCs w:val="16"/>
          <w:shd w:val="clear" w:color="auto" w:fill="FDFDFC"/>
        </w:rPr>
        <w:t>S.p.A</w:t>
      </w:r>
      <w:proofErr w:type="spellEnd"/>
      <w:r w:rsidRPr="00A871EF">
        <w:rPr>
          <w:rFonts w:ascii="Arial" w:hAnsi="Arial" w:cs="Arial"/>
          <w:color w:val="333333"/>
          <w:sz w:val="16"/>
          <w:szCs w:val="16"/>
          <w:shd w:val="clear" w:color="auto" w:fill="FDFDFC"/>
        </w:rPr>
        <w:t xml:space="preserve">, </w:t>
      </w:r>
      <w:proofErr w:type="spellStart"/>
      <w:r w:rsidRPr="00A871EF">
        <w:rPr>
          <w:rFonts w:ascii="Arial" w:hAnsi="Arial" w:cs="Arial"/>
          <w:color w:val="333333"/>
          <w:sz w:val="16"/>
          <w:szCs w:val="16"/>
          <w:shd w:val="clear" w:color="auto" w:fill="FDFDFC"/>
        </w:rPr>
        <w:t>Inail</w:t>
      </w:r>
      <w:proofErr w:type="spellEnd"/>
      <w:r w:rsidRPr="00A871EF">
        <w:rPr>
          <w:rFonts w:ascii="Arial" w:hAnsi="Arial" w:cs="Arial"/>
          <w:color w:val="333333"/>
          <w:sz w:val="16"/>
          <w:szCs w:val="16"/>
          <w:shd w:val="clear" w:color="auto" w:fill="FDFDFC"/>
        </w:rPr>
        <w:t>. Invalsi, INGV, ISPRA, ISS, Ministero degli Affari Esteri e della Cooperazione Internazionale, Ministero dell’agricoltura</w:t>
      </w:r>
      <w:r w:rsidR="00CB5161">
        <w:rPr>
          <w:rFonts w:ascii="Arial" w:hAnsi="Arial" w:cs="Arial"/>
          <w:color w:val="333333"/>
          <w:sz w:val="16"/>
          <w:szCs w:val="16"/>
          <w:shd w:val="clear" w:color="auto" w:fill="FDFDFC"/>
        </w:rPr>
        <w:t>,</w:t>
      </w:r>
      <w:r w:rsidRPr="00A871EF">
        <w:rPr>
          <w:rFonts w:ascii="Arial" w:hAnsi="Arial" w:cs="Arial"/>
          <w:color w:val="333333"/>
          <w:sz w:val="16"/>
          <w:szCs w:val="16"/>
          <w:shd w:val="clear" w:color="auto" w:fill="FDFDFC"/>
        </w:rPr>
        <w:t xml:space="preserve"> della sovranità alimentare e delle foreste, Ministero della Giustizia, Ministero del Lavoro e delle Politiche Sociali, Ministero della Salute, Ministero dell’Economia e delle Finanze, Ministero dell’Ambiente e della Sicurezza Energetica, Ministero dell’Interno, Ministero dell'</w:t>
      </w:r>
      <w:r w:rsidR="00BD0B25">
        <w:rPr>
          <w:rFonts w:ascii="Arial" w:hAnsi="Arial" w:cs="Arial"/>
          <w:color w:val="333333"/>
          <w:sz w:val="16"/>
          <w:szCs w:val="16"/>
          <w:shd w:val="clear" w:color="auto" w:fill="FDFDFC"/>
        </w:rPr>
        <w:t>I</w:t>
      </w:r>
      <w:r w:rsidRPr="00A871EF">
        <w:rPr>
          <w:rFonts w:ascii="Arial" w:hAnsi="Arial" w:cs="Arial"/>
          <w:color w:val="333333"/>
          <w:sz w:val="16"/>
          <w:szCs w:val="16"/>
          <w:shd w:val="clear" w:color="auto" w:fill="FDFDFC"/>
        </w:rPr>
        <w:t xml:space="preserve">struzione e del </w:t>
      </w:r>
      <w:r w:rsidR="00BD0B25">
        <w:rPr>
          <w:rFonts w:ascii="Arial" w:hAnsi="Arial" w:cs="Arial"/>
          <w:color w:val="333333"/>
          <w:sz w:val="16"/>
          <w:szCs w:val="16"/>
          <w:shd w:val="clear" w:color="auto" w:fill="FDFDFC"/>
        </w:rPr>
        <w:t>M</w:t>
      </w:r>
      <w:r w:rsidRPr="00A871EF">
        <w:rPr>
          <w:rFonts w:ascii="Arial" w:hAnsi="Arial" w:cs="Arial"/>
          <w:color w:val="333333"/>
          <w:sz w:val="16"/>
          <w:szCs w:val="16"/>
          <w:shd w:val="clear" w:color="auto" w:fill="FDFDFC"/>
        </w:rPr>
        <w:t>erito, Ministero dell’Università e Ricerca, Presidenza del Consiglio dei Ministri - Dipartimento Pari Opportunità, Terna S.p.A..</w:t>
      </w:r>
    </w:p>
    <w:p w14:paraId="105AE535" w14:textId="3FE40CD9" w:rsidR="00582270" w:rsidRPr="0094788C" w:rsidRDefault="00582270" w:rsidP="00EA6F22">
      <w:pPr>
        <w:tabs>
          <w:tab w:val="num" w:pos="360"/>
          <w:tab w:val="num" w:pos="482"/>
          <w:tab w:val="num" w:pos="2042"/>
        </w:tabs>
        <w:adjustRightInd w:val="0"/>
        <w:spacing w:after="120"/>
        <w:jc w:val="both"/>
        <w:rPr>
          <w:rFonts w:ascii="Arial" w:hAnsi="Arial" w:cs="Arial"/>
          <w:color w:val="000000"/>
          <w:sz w:val="16"/>
          <w:szCs w:val="16"/>
          <w:shd w:val="clear" w:color="auto" w:fill="FFFFFF"/>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8E0EF" w14:textId="77777777" w:rsidR="00582270" w:rsidRDefault="00582270" w:rsidP="00FF083C">
    <w:pPr>
      <w:pStyle w:val="Intestazione"/>
    </w:pPr>
    <w:r>
      <w:rPr>
        <w:noProof/>
        <w:lang w:eastAsia="it-IT"/>
      </w:rPr>
      <mc:AlternateContent>
        <mc:Choice Requires="wps">
          <w:drawing>
            <wp:anchor distT="0" distB="0" distL="114300" distR="114300" simplePos="0" relativeHeight="251661312" behindDoc="0" locked="0" layoutInCell="1" allowOverlap="1" wp14:anchorId="7EFE094E" wp14:editId="72B7EF2B">
              <wp:simplePos x="0" y="0"/>
              <wp:positionH relativeFrom="column">
                <wp:posOffset>3810</wp:posOffset>
              </wp:positionH>
              <wp:positionV relativeFrom="paragraph">
                <wp:posOffset>388620</wp:posOffset>
              </wp:positionV>
              <wp:extent cx="6134735" cy="0"/>
              <wp:effectExtent l="0" t="0" r="12065" b="12700"/>
              <wp:wrapNone/>
              <wp:docPr id="22" name="Connettore 2 22"/>
              <wp:cNvGraphicFramePr/>
              <a:graphic xmlns:a="http://schemas.openxmlformats.org/drawingml/2006/main">
                <a:graphicData uri="http://schemas.microsoft.com/office/word/2010/wordprocessingShape">
                  <wps:wsp>
                    <wps:cNvCnPr/>
                    <wps:spPr>
                      <a:xfrm flipV="1">
                        <a:off x="0" y="0"/>
                        <a:ext cx="6134735" cy="0"/>
                      </a:xfrm>
                      <a:prstGeom prst="straightConnector1">
                        <a:avLst/>
                      </a:prstGeom>
                      <a:ln w="9525">
                        <a:solidFill>
                          <a:srgbClr val="219CD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7D9D4D0" id="_x0000_t32" coordsize="21600,21600" o:spt="32" o:oned="t" path="m,l21600,21600e" filled="f">
              <v:path arrowok="t" fillok="f" o:connecttype="none"/>
              <o:lock v:ext="edit" shapetype="t"/>
            </v:shapetype>
            <v:shape id="Connettore 2 22" o:spid="_x0000_s1026" type="#_x0000_t32" style="position:absolute;margin-left:.3pt;margin-top:30.6pt;width:483.05pt;height: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" strokecolor="#219cd2">
              <v:stroke joinstyle="miter"/>
            </v:shape>
          </w:pict>
        </mc:Fallback>
      </mc:AlternateContent>
    </w:r>
    <w:r w:rsidRPr="0041335C">
      <w:t xml:space="preserve"> </w:t>
    </w:r>
  </w:p>
  <w:p w14:paraId="4A6A0126" w14:textId="77777777" w:rsidR="00582270" w:rsidRDefault="00582270">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D7B46" w14:textId="0AAA14DE" w:rsidR="00582270" w:rsidRDefault="00582270" w:rsidP="00FF083C">
    <w:pPr>
      <w:pStyle w:val="Intestazione"/>
    </w:pPr>
    <w:r w:rsidRPr="007724D6">
      <w:rPr>
        <w:rFonts w:ascii="Arial Narrow" w:eastAsia="Times New Roman" w:hAnsi="Arial Narrow" w:cs="Arial"/>
        <w:b/>
        <w:caps/>
        <w:noProof/>
        <w:color w:val="7F7F7F"/>
        <w:sz w:val="20"/>
        <w:szCs w:val="20"/>
        <w:lang w:eastAsia="it-IT"/>
      </w:rPr>
      <mc:AlternateContent>
        <mc:Choice Requires="wps">
          <w:drawing>
            <wp:anchor distT="45720" distB="45720" distL="114300" distR="114300" simplePos="0" relativeHeight="251667456" behindDoc="0" locked="0" layoutInCell="1" allowOverlap="1" wp14:anchorId="448B1901" wp14:editId="0B321EED">
              <wp:simplePos x="0" y="0"/>
              <wp:positionH relativeFrom="column">
                <wp:posOffset>3061335</wp:posOffset>
              </wp:positionH>
              <wp:positionV relativeFrom="paragraph">
                <wp:posOffset>-78105</wp:posOffset>
              </wp:positionV>
              <wp:extent cx="1028700" cy="266700"/>
              <wp:effectExtent l="0" t="0" r="0" b="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66700"/>
                      </a:xfrm>
                      <a:prstGeom prst="rect">
                        <a:avLst/>
                      </a:prstGeom>
                      <a:solidFill>
                        <a:srgbClr val="FFFFFF"/>
                      </a:solidFill>
                      <a:ln w="9525">
                        <a:noFill/>
                        <a:miter lim="800000"/>
                        <a:headEnd/>
                        <a:tailEnd/>
                      </a:ln>
                    </wps:spPr>
                    <wps:txbx>
                      <w:txbxContent>
                        <w:p w14:paraId="57BA1A1F" w14:textId="16EF0AA8" w:rsidR="00582270" w:rsidRPr="00E34F20" w:rsidRDefault="00C40D33" w:rsidP="007724D6">
                          <w:pPr>
                            <w:rPr>
                              <w:rFonts w:ascii="Arial" w:hAnsi="Arial" w:cs="Arial"/>
                              <w:sz w:val="16"/>
                              <w:szCs w:val="16"/>
                            </w:rPr>
                          </w:pPr>
                          <w:r w:rsidRPr="003172B4">
                            <w:rPr>
                              <w:rFonts w:ascii="Arial" w:hAnsi="Arial" w:cs="Arial"/>
                              <w:sz w:val="16"/>
                              <w:szCs w:val="16"/>
                            </w:rPr>
                            <w:t>20 giugno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8B1901" id="_x0000_t202" coordsize="21600,21600" o:spt="202" path="m,l,21600r21600,l21600,xe">
              <v:stroke joinstyle="miter"/>
              <v:path gradientshapeok="t" o:connecttype="rect"/>
            </v:shapetype>
            <v:shape id="Casella di testo 2" o:spid="_x0000_s1026" type="#_x0000_t202" style="position:absolute;margin-left:241.05pt;margin-top:-6.15pt;width:81pt;height:2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" stroked="f">
              <v:textbox>
                <w:txbxContent>
                  <w:p w14:paraId="57BA1A1F" w14:textId="16EF0AA8" w:rsidR="00582270" w:rsidRPr="00E34F20" w:rsidRDefault="00C40D33" w:rsidP="007724D6">
                    <w:pPr>
                      <w:rPr>
                        <w:rFonts w:ascii="Arial" w:hAnsi="Arial" w:cs="Arial"/>
                        <w:sz w:val="16"/>
                        <w:szCs w:val="16"/>
                      </w:rPr>
                    </w:pPr>
                    <w:r w:rsidRPr="003172B4">
                      <w:rPr>
                        <w:rFonts w:ascii="Arial" w:hAnsi="Arial" w:cs="Arial"/>
                        <w:sz w:val="16"/>
                        <w:szCs w:val="16"/>
                      </w:rPr>
                      <w:t>20 giugno 2023</w:t>
                    </w:r>
                  </w:p>
                </w:txbxContent>
              </v:textbox>
              <w10:wrap type="square"/>
            </v:shape>
          </w:pict>
        </mc:Fallback>
      </mc:AlternateContent>
    </w:r>
    <w:r>
      <w:rPr>
        <w:noProof/>
        <w:lang w:eastAsia="it-IT"/>
      </w:rPr>
      <mc:AlternateContent>
        <mc:Choice Requires="wps">
          <w:drawing>
            <wp:anchor distT="0" distB="0" distL="114300" distR="114300" simplePos="0" relativeHeight="251665408" behindDoc="0" locked="0" layoutInCell="1" allowOverlap="1" wp14:anchorId="155F2BF3" wp14:editId="0EB01B1F">
              <wp:simplePos x="0" y="0"/>
              <wp:positionH relativeFrom="column">
                <wp:posOffset>3810</wp:posOffset>
              </wp:positionH>
              <wp:positionV relativeFrom="paragraph">
                <wp:posOffset>388620</wp:posOffset>
              </wp:positionV>
              <wp:extent cx="6134735" cy="0"/>
              <wp:effectExtent l="0" t="0" r="12065" b="12700"/>
              <wp:wrapNone/>
              <wp:docPr id="20" name="Connettore 2 20"/>
              <wp:cNvGraphicFramePr/>
              <a:graphic xmlns:a="http://schemas.openxmlformats.org/drawingml/2006/main">
                <a:graphicData uri="http://schemas.microsoft.com/office/word/2010/wordprocessingShape">
                  <wps:wsp>
                    <wps:cNvCnPr/>
                    <wps:spPr>
                      <a:xfrm flipV="1">
                        <a:off x="0" y="0"/>
                        <a:ext cx="6134735" cy="0"/>
                      </a:xfrm>
                      <a:prstGeom prst="straightConnector1">
                        <a:avLst/>
                      </a:prstGeom>
                      <a:ln w="9525">
                        <a:solidFill>
                          <a:srgbClr val="219CD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592316B" id="_x0000_t32" coordsize="21600,21600" o:spt="32" o:oned="t" path="m,l21600,21600e" filled="f">
              <v:path arrowok="t" fillok="f" o:connecttype="none"/>
              <o:lock v:ext="edit" shapetype="t"/>
            </v:shapetype>
            <v:shape id="Connettore 2 20" o:spid="_x0000_s1026" type="#_x0000_t32" style="position:absolute;margin-left:.3pt;margin-top:30.6pt;width:483.05pt;height:0;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" strokecolor="#219cd2">
              <v:stroke joinstyle="miter"/>
            </v:shape>
          </w:pict>
        </mc:Fallback>
      </mc:AlternateContent>
    </w:r>
    <w:r w:rsidRPr="0041335C">
      <w:rPr>
        <w:noProof/>
        <w:lang w:eastAsia="it-IT"/>
      </w:rPr>
      <w:drawing>
        <wp:anchor distT="0" distB="0" distL="114300" distR="114300" simplePos="0" relativeHeight="251664384" behindDoc="0" locked="0" layoutInCell="1" allowOverlap="1" wp14:anchorId="688FE9B6" wp14:editId="7405D271">
          <wp:simplePos x="0" y="0"/>
          <wp:positionH relativeFrom="column">
            <wp:posOffset>3175</wp:posOffset>
          </wp:positionH>
          <wp:positionV relativeFrom="paragraph">
            <wp:posOffset>-94615</wp:posOffset>
          </wp:positionV>
          <wp:extent cx="1997075" cy="454327"/>
          <wp:effectExtent l="0" t="0" r="0" b="0"/>
          <wp:wrapNone/>
          <wp:docPr id="2" name="Immagine 3">
            <a:extLst xmlns:a="http://schemas.openxmlformats.org/drawingml/2006/main">
              <a:ext uri="{FF2B5EF4-FFF2-40B4-BE49-F238E27FC236}">
                <a16:creationId xmlns:a16="http://schemas.microsoft.com/office/drawing/2014/main" id="{DA1882A2-AC4A-0E4E-A038-741253A4F1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 name="Immagine 3">
                    <a:extLst>
                      <a:ext uri="{FF2B5EF4-FFF2-40B4-BE49-F238E27FC236}">
                        <a16:creationId xmlns:a16="http://schemas.microsoft.com/office/drawing/2014/main" id="{DA1882A2-AC4A-0E4E-A038-741253A4F112}"/>
                      </a:ext>
                    </a:extLst>
                  </pic:cNvPr>
                  <pic:cNvPicPr>
                    <a:picLocks noChangeAspect="1"/>
                  </pic:cNvPicPr>
                </pic:nvPicPr>
                <pic:blipFill>
                  <a:blip r:embed="rId1">
                    <a:extLst>
                      <a:ext uri="{28A0092B-C50C-407E-A947-70E740481C1C}">
                        <a14:useLocalDpi xmlns:a14="http://schemas.microsoft.com/office/drawing/2010/main" val="0"/>
                      </a:ext>
                    </a:extLst>
                  </a:blip>
                  <a:srcRect b="64841"/>
                  <a:stretch>
                    <a:fillRect/>
                  </a:stretch>
                </pic:blipFill>
                <pic:spPr bwMode="auto">
                  <a:xfrm>
                    <a:off x="0" y="0"/>
                    <a:ext cx="1997075" cy="4543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335C">
      <w:rPr>
        <w:noProof/>
        <w:lang w:eastAsia="it-IT"/>
      </w:rPr>
      <w:drawing>
        <wp:anchor distT="0" distB="0" distL="114300" distR="114300" simplePos="0" relativeHeight="251663360" behindDoc="0" locked="0" layoutInCell="1" allowOverlap="1" wp14:anchorId="1E672566" wp14:editId="761286B4">
          <wp:simplePos x="0" y="0"/>
          <wp:positionH relativeFrom="column">
            <wp:posOffset>4137660</wp:posOffset>
          </wp:positionH>
          <wp:positionV relativeFrom="paragraph">
            <wp:posOffset>-1270</wp:posOffset>
          </wp:positionV>
          <wp:extent cx="2000922" cy="255690"/>
          <wp:effectExtent l="0" t="0" r="0" b="0"/>
          <wp:wrapNone/>
          <wp:docPr id="9" name="Immagine 18">
            <a:extLst xmlns:a="http://schemas.openxmlformats.org/drawingml/2006/main">
              <a:ext uri="{FF2B5EF4-FFF2-40B4-BE49-F238E27FC236}">
                <a16:creationId xmlns:a16="http://schemas.microsoft.com/office/drawing/2014/main" id="{654D4DD5-2C85-DC4C-B679-073416097C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8">
                    <a:extLst>
                      <a:ext uri="{FF2B5EF4-FFF2-40B4-BE49-F238E27FC236}">
                        <a16:creationId xmlns:a16="http://schemas.microsoft.com/office/drawing/2014/main" id="{654D4DD5-2C85-DC4C-B679-073416097CC2}"/>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000922" cy="255690"/>
                  </a:xfrm>
                  <a:prstGeom prst="rect">
                    <a:avLst/>
                  </a:prstGeom>
                </pic:spPr>
              </pic:pic>
            </a:graphicData>
          </a:graphic>
          <wp14:sizeRelH relativeFrom="margin">
            <wp14:pctWidth>0</wp14:pctWidth>
          </wp14:sizeRelH>
          <wp14:sizeRelV relativeFrom="margin">
            <wp14:pctHeight>0</wp14:pctHeight>
          </wp14:sizeRelV>
        </wp:anchor>
      </w:drawing>
    </w:r>
    <w:r w:rsidRPr="0041335C">
      <w:t xml:space="preserve"> </w:t>
    </w:r>
  </w:p>
  <w:p w14:paraId="0BDEDF3C" w14:textId="395EF357" w:rsidR="00582270" w:rsidRDefault="0058227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54C50"/>
    <w:multiLevelType w:val="hybridMultilevel"/>
    <w:tmpl w:val="864EFA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9A229F2"/>
    <w:multiLevelType w:val="hybridMultilevel"/>
    <w:tmpl w:val="913C19C0"/>
    <w:lvl w:ilvl="0" w:tplc="955208A8">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0FA4407E"/>
    <w:multiLevelType w:val="hybridMultilevel"/>
    <w:tmpl w:val="254C4034"/>
    <w:lvl w:ilvl="0" w:tplc="F44CA4D6">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15:restartNumberingAfterBreak="0">
    <w:nsid w:val="11384CB1"/>
    <w:multiLevelType w:val="hybridMultilevel"/>
    <w:tmpl w:val="0186F1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D5E65FC"/>
    <w:multiLevelType w:val="hybridMultilevel"/>
    <w:tmpl w:val="DB5E61F6"/>
    <w:lvl w:ilvl="0" w:tplc="7C204A1E">
      <w:numFmt w:val="bullet"/>
      <w:lvlText w:val="-"/>
      <w:lvlJc w:val="left"/>
      <w:pPr>
        <w:ind w:left="420" w:hanging="360"/>
      </w:pPr>
      <w:rPr>
        <w:rFonts w:ascii="Arial" w:eastAsia="Times New Roman" w:hAnsi="Arial" w:cs="Arial" w:hint="default"/>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5" w15:restartNumberingAfterBreak="0">
    <w:nsid w:val="207438FA"/>
    <w:multiLevelType w:val="hybridMultilevel"/>
    <w:tmpl w:val="358496E6"/>
    <w:lvl w:ilvl="0" w:tplc="08EE1056">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15:restartNumberingAfterBreak="0">
    <w:nsid w:val="24A04CD1"/>
    <w:multiLevelType w:val="hybridMultilevel"/>
    <w:tmpl w:val="59E07D6A"/>
    <w:lvl w:ilvl="0" w:tplc="AA309B6E">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 w15:restartNumberingAfterBreak="0">
    <w:nsid w:val="28092795"/>
    <w:multiLevelType w:val="hybridMultilevel"/>
    <w:tmpl w:val="5D96D568"/>
    <w:lvl w:ilvl="0" w:tplc="5C5EECE2">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 w15:restartNumberingAfterBreak="0">
    <w:nsid w:val="2A4E297D"/>
    <w:multiLevelType w:val="hybridMultilevel"/>
    <w:tmpl w:val="FE36FC2E"/>
    <w:lvl w:ilvl="0" w:tplc="04100001">
      <w:start w:val="1"/>
      <w:numFmt w:val="bullet"/>
      <w:lvlText w:val=""/>
      <w:lvlJc w:val="left"/>
      <w:pPr>
        <w:ind w:left="720" w:hanging="360"/>
      </w:pPr>
      <w:rPr>
        <w:rFonts w:ascii="Symbol" w:hAnsi="Symbol" w:hint="default"/>
      </w:rPr>
    </w:lvl>
    <w:lvl w:ilvl="1" w:tplc="0282A62A">
      <w:numFmt w:val="bullet"/>
      <w:lvlText w:val="•"/>
      <w:lvlJc w:val="left"/>
      <w:pPr>
        <w:ind w:left="1440" w:hanging="360"/>
      </w:pPr>
      <w:rPr>
        <w:rFonts w:ascii="Helvetica LT Std Cond" w:eastAsiaTheme="minorEastAsia" w:hAnsi="Helvetica LT Std Cond" w:cs="HelveticaLTStd-Cond"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BB33FBB"/>
    <w:multiLevelType w:val="hybridMultilevel"/>
    <w:tmpl w:val="357C312C"/>
    <w:lvl w:ilvl="0" w:tplc="08FE3C90">
      <w:start w:val="1"/>
      <w:numFmt w:val="lowerLetter"/>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1A969DA"/>
    <w:multiLevelType w:val="hybridMultilevel"/>
    <w:tmpl w:val="415A6D4C"/>
    <w:lvl w:ilvl="0" w:tplc="08FE3C90">
      <w:start w:val="1"/>
      <w:numFmt w:val="lowerLetter"/>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24F4AEA"/>
    <w:multiLevelType w:val="hybridMultilevel"/>
    <w:tmpl w:val="4B684E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49F6BF3"/>
    <w:multiLevelType w:val="hybridMultilevel"/>
    <w:tmpl w:val="7CA2F6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60F0AAC"/>
    <w:multiLevelType w:val="hybridMultilevel"/>
    <w:tmpl w:val="4BD0C1BC"/>
    <w:lvl w:ilvl="0" w:tplc="DD384944">
      <w:start w:val="1"/>
      <w:numFmt w:val="bullet"/>
      <w:lvlText w:val=""/>
      <w:lvlJc w:val="left"/>
      <w:pPr>
        <w:ind w:left="1920" w:hanging="360"/>
      </w:pPr>
      <w:rPr>
        <w:rFonts w:ascii="Symbol" w:hAnsi="Symbol" w:hint="default"/>
      </w:rPr>
    </w:lvl>
    <w:lvl w:ilvl="1" w:tplc="04100003" w:tentative="1">
      <w:start w:val="1"/>
      <w:numFmt w:val="bullet"/>
      <w:lvlText w:val="o"/>
      <w:lvlJc w:val="left"/>
      <w:pPr>
        <w:ind w:left="2640" w:hanging="360"/>
      </w:pPr>
      <w:rPr>
        <w:rFonts w:ascii="Courier New" w:hAnsi="Courier New" w:cs="Courier New" w:hint="default"/>
      </w:rPr>
    </w:lvl>
    <w:lvl w:ilvl="2" w:tplc="04100005" w:tentative="1">
      <w:start w:val="1"/>
      <w:numFmt w:val="bullet"/>
      <w:lvlText w:val=""/>
      <w:lvlJc w:val="left"/>
      <w:pPr>
        <w:ind w:left="3360" w:hanging="360"/>
      </w:pPr>
      <w:rPr>
        <w:rFonts w:ascii="Wingdings" w:hAnsi="Wingdings" w:hint="default"/>
      </w:rPr>
    </w:lvl>
    <w:lvl w:ilvl="3" w:tplc="04100001" w:tentative="1">
      <w:start w:val="1"/>
      <w:numFmt w:val="bullet"/>
      <w:lvlText w:val=""/>
      <w:lvlJc w:val="left"/>
      <w:pPr>
        <w:ind w:left="4080" w:hanging="360"/>
      </w:pPr>
      <w:rPr>
        <w:rFonts w:ascii="Symbol" w:hAnsi="Symbol" w:hint="default"/>
      </w:rPr>
    </w:lvl>
    <w:lvl w:ilvl="4" w:tplc="04100003" w:tentative="1">
      <w:start w:val="1"/>
      <w:numFmt w:val="bullet"/>
      <w:lvlText w:val="o"/>
      <w:lvlJc w:val="left"/>
      <w:pPr>
        <w:ind w:left="4800" w:hanging="360"/>
      </w:pPr>
      <w:rPr>
        <w:rFonts w:ascii="Courier New" w:hAnsi="Courier New" w:cs="Courier New" w:hint="default"/>
      </w:rPr>
    </w:lvl>
    <w:lvl w:ilvl="5" w:tplc="04100005" w:tentative="1">
      <w:start w:val="1"/>
      <w:numFmt w:val="bullet"/>
      <w:lvlText w:val=""/>
      <w:lvlJc w:val="left"/>
      <w:pPr>
        <w:ind w:left="5520" w:hanging="360"/>
      </w:pPr>
      <w:rPr>
        <w:rFonts w:ascii="Wingdings" w:hAnsi="Wingdings" w:hint="default"/>
      </w:rPr>
    </w:lvl>
    <w:lvl w:ilvl="6" w:tplc="04100001" w:tentative="1">
      <w:start w:val="1"/>
      <w:numFmt w:val="bullet"/>
      <w:lvlText w:val=""/>
      <w:lvlJc w:val="left"/>
      <w:pPr>
        <w:ind w:left="6240" w:hanging="360"/>
      </w:pPr>
      <w:rPr>
        <w:rFonts w:ascii="Symbol" w:hAnsi="Symbol" w:hint="default"/>
      </w:rPr>
    </w:lvl>
    <w:lvl w:ilvl="7" w:tplc="04100003" w:tentative="1">
      <w:start w:val="1"/>
      <w:numFmt w:val="bullet"/>
      <w:lvlText w:val="o"/>
      <w:lvlJc w:val="left"/>
      <w:pPr>
        <w:ind w:left="6960" w:hanging="360"/>
      </w:pPr>
      <w:rPr>
        <w:rFonts w:ascii="Courier New" w:hAnsi="Courier New" w:cs="Courier New" w:hint="default"/>
      </w:rPr>
    </w:lvl>
    <w:lvl w:ilvl="8" w:tplc="04100005" w:tentative="1">
      <w:start w:val="1"/>
      <w:numFmt w:val="bullet"/>
      <w:lvlText w:val=""/>
      <w:lvlJc w:val="left"/>
      <w:pPr>
        <w:ind w:left="7680" w:hanging="360"/>
      </w:pPr>
      <w:rPr>
        <w:rFonts w:ascii="Wingdings" w:hAnsi="Wingdings" w:hint="default"/>
      </w:rPr>
    </w:lvl>
  </w:abstractNum>
  <w:abstractNum w:abstractNumId="14" w15:restartNumberingAfterBreak="0">
    <w:nsid w:val="3A2A20C1"/>
    <w:multiLevelType w:val="hybridMultilevel"/>
    <w:tmpl w:val="9940C016"/>
    <w:lvl w:ilvl="0" w:tplc="C0AE6FA4">
      <w:start w:val="1"/>
      <w:numFmt w:val="lowerLetter"/>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68A4E04"/>
    <w:multiLevelType w:val="hybridMultilevel"/>
    <w:tmpl w:val="22627D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79B371E"/>
    <w:multiLevelType w:val="hybridMultilevel"/>
    <w:tmpl w:val="3FCCEFF4"/>
    <w:lvl w:ilvl="0" w:tplc="DE922E5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92C5FE1"/>
    <w:multiLevelType w:val="hybridMultilevel"/>
    <w:tmpl w:val="54D61A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C5E778A"/>
    <w:multiLevelType w:val="hybridMultilevel"/>
    <w:tmpl w:val="625CC1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12E0F65"/>
    <w:multiLevelType w:val="hybridMultilevel"/>
    <w:tmpl w:val="53BA7016"/>
    <w:lvl w:ilvl="0" w:tplc="AA283908">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33401B5"/>
    <w:multiLevelType w:val="hybridMultilevel"/>
    <w:tmpl w:val="0F5EEE9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 w15:restartNumberingAfterBreak="0">
    <w:nsid w:val="659E2076"/>
    <w:multiLevelType w:val="hybridMultilevel"/>
    <w:tmpl w:val="22B87544"/>
    <w:lvl w:ilvl="0" w:tplc="08FE3C90">
      <w:start w:val="1"/>
      <w:numFmt w:val="lowerLetter"/>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6982035"/>
    <w:multiLevelType w:val="hybridMultilevel"/>
    <w:tmpl w:val="012AF7C6"/>
    <w:lvl w:ilvl="0" w:tplc="EDE29566">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90A005A"/>
    <w:multiLevelType w:val="hybridMultilevel"/>
    <w:tmpl w:val="EA24EC4E"/>
    <w:lvl w:ilvl="0" w:tplc="231A17D6">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4" w15:restartNumberingAfterBreak="0">
    <w:nsid w:val="70AD79AE"/>
    <w:multiLevelType w:val="hybridMultilevel"/>
    <w:tmpl w:val="CD4691D8"/>
    <w:lvl w:ilvl="0" w:tplc="08FE3C90">
      <w:start w:val="1"/>
      <w:numFmt w:val="lowerLetter"/>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27123FA"/>
    <w:multiLevelType w:val="hybridMultilevel"/>
    <w:tmpl w:val="056C4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EE2185"/>
    <w:multiLevelType w:val="hybridMultilevel"/>
    <w:tmpl w:val="05249766"/>
    <w:lvl w:ilvl="0" w:tplc="0FC2D58C">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769876CF"/>
    <w:multiLevelType w:val="hybridMultilevel"/>
    <w:tmpl w:val="C20E389E"/>
    <w:lvl w:ilvl="0" w:tplc="C30E6964">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8" w15:restartNumberingAfterBreak="0">
    <w:nsid w:val="769F054A"/>
    <w:multiLevelType w:val="hybridMultilevel"/>
    <w:tmpl w:val="350218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BB63632"/>
    <w:multiLevelType w:val="hybridMultilevel"/>
    <w:tmpl w:val="F4E47154"/>
    <w:lvl w:ilvl="0" w:tplc="43D815F6">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abstractNumId w:val="2"/>
  </w:num>
  <w:num w:numId="2">
    <w:abstractNumId w:val="4"/>
  </w:num>
  <w:num w:numId="3">
    <w:abstractNumId w:val="27"/>
  </w:num>
  <w:num w:numId="4">
    <w:abstractNumId w:val="23"/>
  </w:num>
  <w:num w:numId="5">
    <w:abstractNumId w:val="7"/>
  </w:num>
  <w:num w:numId="6">
    <w:abstractNumId w:val="29"/>
  </w:num>
  <w:num w:numId="7">
    <w:abstractNumId w:val="16"/>
  </w:num>
  <w:num w:numId="8">
    <w:abstractNumId w:val="26"/>
  </w:num>
  <w:num w:numId="9">
    <w:abstractNumId w:val="22"/>
  </w:num>
  <w:num w:numId="10">
    <w:abstractNumId w:val="19"/>
  </w:num>
  <w:num w:numId="11">
    <w:abstractNumId w:val="1"/>
  </w:num>
  <w:num w:numId="12">
    <w:abstractNumId w:val="6"/>
  </w:num>
  <w:num w:numId="13">
    <w:abstractNumId w:val="12"/>
  </w:num>
  <w:num w:numId="14">
    <w:abstractNumId w:val="0"/>
  </w:num>
  <w:num w:numId="15">
    <w:abstractNumId w:val="15"/>
  </w:num>
  <w:num w:numId="16">
    <w:abstractNumId w:val="17"/>
  </w:num>
  <w:num w:numId="17">
    <w:abstractNumId w:val="8"/>
  </w:num>
  <w:num w:numId="18">
    <w:abstractNumId w:val="3"/>
  </w:num>
  <w:num w:numId="19">
    <w:abstractNumId w:val="18"/>
  </w:num>
  <w:num w:numId="20">
    <w:abstractNumId w:val="20"/>
  </w:num>
  <w:num w:numId="21">
    <w:abstractNumId w:val="13"/>
  </w:num>
  <w:num w:numId="22">
    <w:abstractNumId w:val="11"/>
  </w:num>
  <w:num w:numId="23">
    <w:abstractNumId w:val="28"/>
  </w:num>
  <w:num w:numId="24">
    <w:abstractNumId w:val="25"/>
  </w:num>
  <w:num w:numId="25">
    <w:abstractNumId w:val="5"/>
  </w:num>
  <w:num w:numId="26">
    <w:abstractNumId w:val="14"/>
  </w:num>
  <w:num w:numId="27">
    <w:abstractNumId w:val="21"/>
  </w:num>
  <w:num w:numId="28">
    <w:abstractNumId w:val="10"/>
  </w:num>
  <w:num w:numId="29">
    <w:abstractNumId w:val="9"/>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6" w:nlCheck="1" w:checkStyle="0"/>
  <w:activeWritingStyle w:appName="MSWord" w:lang="it-IT" w:vendorID="64" w:dllVersion="0" w:nlCheck="1" w:checkStyle="0"/>
  <w:activeWritingStyle w:appName="MSWord" w:lang="en-US" w:vendorID="64" w:dllVersion="0" w:nlCheck="1" w:checkStyle="0"/>
  <w:activeWritingStyle w:appName="MSWord" w:lang="en-US" w:vendorID="64" w:dllVersion="6" w:nlCheck="1" w:checkStyle="0"/>
  <w:activeWritingStyle w:appName="MSWord" w:lang="it-IT" w:vendorID="64" w:dllVersion="4096" w:nlCheck="1" w:checkStyle="0"/>
  <w:activeWritingStyle w:appName="MSWord" w:lang="en-US" w:vendorID="64" w:dllVersion="4096" w:nlCheck="1" w:checkStyle="0"/>
  <w:activeWritingStyle w:appName="MSWord" w:lang="it-IT" w:vendorID="64" w:dllVersion="131078" w:nlCheck="1" w:checkStyle="0"/>
  <w:activeWritingStyle w:appName="MSWord" w:lang="en-US" w:vendorID="64" w:dllVersion="131078" w:nlCheck="1" w:checkStyle="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E16"/>
    <w:rsid w:val="000013FC"/>
    <w:rsid w:val="00007051"/>
    <w:rsid w:val="00016931"/>
    <w:rsid w:val="00016DAD"/>
    <w:rsid w:val="000204E2"/>
    <w:rsid w:val="00021452"/>
    <w:rsid w:val="000235DF"/>
    <w:rsid w:val="00023947"/>
    <w:rsid w:val="00024205"/>
    <w:rsid w:val="00024B09"/>
    <w:rsid w:val="00025033"/>
    <w:rsid w:val="00027F92"/>
    <w:rsid w:val="00030C2E"/>
    <w:rsid w:val="00032250"/>
    <w:rsid w:val="00041E52"/>
    <w:rsid w:val="000464C7"/>
    <w:rsid w:val="00046659"/>
    <w:rsid w:val="00051636"/>
    <w:rsid w:val="000535F0"/>
    <w:rsid w:val="00056E5B"/>
    <w:rsid w:val="00057BA5"/>
    <w:rsid w:val="00060B30"/>
    <w:rsid w:val="0006328E"/>
    <w:rsid w:val="0006569A"/>
    <w:rsid w:val="00066E53"/>
    <w:rsid w:val="00072D15"/>
    <w:rsid w:val="000740AC"/>
    <w:rsid w:val="0007413A"/>
    <w:rsid w:val="00075AA7"/>
    <w:rsid w:val="00076CA1"/>
    <w:rsid w:val="00081012"/>
    <w:rsid w:val="00087886"/>
    <w:rsid w:val="000931D9"/>
    <w:rsid w:val="000954E0"/>
    <w:rsid w:val="00095E08"/>
    <w:rsid w:val="000A0C77"/>
    <w:rsid w:val="000A5FCE"/>
    <w:rsid w:val="000B3226"/>
    <w:rsid w:val="000B3766"/>
    <w:rsid w:val="000B4F78"/>
    <w:rsid w:val="000B52BE"/>
    <w:rsid w:val="000B5611"/>
    <w:rsid w:val="000B65E5"/>
    <w:rsid w:val="000B6B9B"/>
    <w:rsid w:val="000D1068"/>
    <w:rsid w:val="000D174E"/>
    <w:rsid w:val="000D6D4E"/>
    <w:rsid w:val="000E0B51"/>
    <w:rsid w:val="000E299E"/>
    <w:rsid w:val="000F2659"/>
    <w:rsid w:val="000F2969"/>
    <w:rsid w:val="000F7EA0"/>
    <w:rsid w:val="0010574A"/>
    <w:rsid w:val="001062B2"/>
    <w:rsid w:val="00107D0B"/>
    <w:rsid w:val="0011161F"/>
    <w:rsid w:val="001132E2"/>
    <w:rsid w:val="001224FF"/>
    <w:rsid w:val="0012298B"/>
    <w:rsid w:val="00125407"/>
    <w:rsid w:val="00125543"/>
    <w:rsid w:val="0012756C"/>
    <w:rsid w:val="00133454"/>
    <w:rsid w:val="00137FFE"/>
    <w:rsid w:val="0014018D"/>
    <w:rsid w:val="00140A77"/>
    <w:rsid w:val="00142F3E"/>
    <w:rsid w:val="00145955"/>
    <w:rsid w:val="00155984"/>
    <w:rsid w:val="001626ED"/>
    <w:rsid w:val="00163C20"/>
    <w:rsid w:val="00166D6A"/>
    <w:rsid w:val="00173157"/>
    <w:rsid w:val="00175863"/>
    <w:rsid w:val="00181E86"/>
    <w:rsid w:val="0018237D"/>
    <w:rsid w:val="00186C4F"/>
    <w:rsid w:val="00187F72"/>
    <w:rsid w:val="001912E9"/>
    <w:rsid w:val="001959D0"/>
    <w:rsid w:val="001A55C9"/>
    <w:rsid w:val="001B1021"/>
    <w:rsid w:val="001B7A31"/>
    <w:rsid w:val="001C2F51"/>
    <w:rsid w:val="001C352E"/>
    <w:rsid w:val="001D05C3"/>
    <w:rsid w:val="001D162D"/>
    <w:rsid w:val="001D447A"/>
    <w:rsid w:val="001D45BB"/>
    <w:rsid w:val="001E2620"/>
    <w:rsid w:val="001E39DD"/>
    <w:rsid w:val="001E77F3"/>
    <w:rsid w:val="001F12AD"/>
    <w:rsid w:val="001F2CDC"/>
    <w:rsid w:val="001F3C87"/>
    <w:rsid w:val="001F4F2B"/>
    <w:rsid w:val="001F6582"/>
    <w:rsid w:val="00201033"/>
    <w:rsid w:val="00201C20"/>
    <w:rsid w:val="00203AFB"/>
    <w:rsid w:val="00204BB6"/>
    <w:rsid w:val="0021088D"/>
    <w:rsid w:val="00212AA9"/>
    <w:rsid w:val="002157D1"/>
    <w:rsid w:val="00215E71"/>
    <w:rsid w:val="00220EEE"/>
    <w:rsid w:val="0022127B"/>
    <w:rsid w:val="002254DC"/>
    <w:rsid w:val="00234D94"/>
    <w:rsid w:val="0024353B"/>
    <w:rsid w:val="00243D36"/>
    <w:rsid w:val="00245287"/>
    <w:rsid w:val="002470B2"/>
    <w:rsid w:val="00250013"/>
    <w:rsid w:val="0025045D"/>
    <w:rsid w:val="00251BB5"/>
    <w:rsid w:val="002558A6"/>
    <w:rsid w:val="00256156"/>
    <w:rsid w:val="00256E2D"/>
    <w:rsid w:val="002717C6"/>
    <w:rsid w:val="002775EC"/>
    <w:rsid w:val="00282572"/>
    <w:rsid w:val="00284D16"/>
    <w:rsid w:val="00295459"/>
    <w:rsid w:val="002962A0"/>
    <w:rsid w:val="002A5870"/>
    <w:rsid w:val="002B251A"/>
    <w:rsid w:val="002C3FDF"/>
    <w:rsid w:val="002C4D6B"/>
    <w:rsid w:val="002C65A3"/>
    <w:rsid w:val="002D7784"/>
    <w:rsid w:val="002E333D"/>
    <w:rsid w:val="002F73F5"/>
    <w:rsid w:val="0030101C"/>
    <w:rsid w:val="0030537F"/>
    <w:rsid w:val="00311090"/>
    <w:rsid w:val="0031432B"/>
    <w:rsid w:val="003172B4"/>
    <w:rsid w:val="0032165A"/>
    <w:rsid w:val="00336315"/>
    <w:rsid w:val="00336362"/>
    <w:rsid w:val="00345BFD"/>
    <w:rsid w:val="003537F4"/>
    <w:rsid w:val="00360311"/>
    <w:rsid w:val="00361EDC"/>
    <w:rsid w:val="00362C49"/>
    <w:rsid w:val="003659D3"/>
    <w:rsid w:val="003770A5"/>
    <w:rsid w:val="00380180"/>
    <w:rsid w:val="003805F5"/>
    <w:rsid w:val="00382077"/>
    <w:rsid w:val="00386E90"/>
    <w:rsid w:val="00397FDE"/>
    <w:rsid w:val="003A0B07"/>
    <w:rsid w:val="003A3B1C"/>
    <w:rsid w:val="003B42A6"/>
    <w:rsid w:val="003B4FBD"/>
    <w:rsid w:val="003B57CB"/>
    <w:rsid w:val="003B6529"/>
    <w:rsid w:val="003B65C1"/>
    <w:rsid w:val="003B6F2C"/>
    <w:rsid w:val="003C5F30"/>
    <w:rsid w:val="003D3131"/>
    <w:rsid w:val="003D6C8F"/>
    <w:rsid w:val="003E356C"/>
    <w:rsid w:val="003E785F"/>
    <w:rsid w:val="003F4B77"/>
    <w:rsid w:val="003F4BC6"/>
    <w:rsid w:val="00403029"/>
    <w:rsid w:val="004034BE"/>
    <w:rsid w:val="0040399A"/>
    <w:rsid w:val="00404D58"/>
    <w:rsid w:val="00424F70"/>
    <w:rsid w:val="004271A4"/>
    <w:rsid w:val="004469CA"/>
    <w:rsid w:val="00446AA8"/>
    <w:rsid w:val="00446C1D"/>
    <w:rsid w:val="00450811"/>
    <w:rsid w:val="00452A20"/>
    <w:rsid w:val="004545FD"/>
    <w:rsid w:val="00455B5A"/>
    <w:rsid w:val="00463468"/>
    <w:rsid w:val="00464171"/>
    <w:rsid w:val="0046673A"/>
    <w:rsid w:val="00467971"/>
    <w:rsid w:val="00471DDA"/>
    <w:rsid w:val="00472E46"/>
    <w:rsid w:val="00475F20"/>
    <w:rsid w:val="00481199"/>
    <w:rsid w:val="0048136C"/>
    <w:rsid w:val="00486524"/>
    <w:rsid w:val="004927EC"/>
    <w:rsid w:val="00492FEB"/>
    <w:rsid w:val="004953AA"/>
    <w:rsid w:val="00497DEE"/>
    <w:rsid w:val="004A335E"/>
    <w:rsid w:val="004A673B"/>
    <w:rsid w:val="004B3038"/>
    <w:rsid w:val="004B3254"/>
    <w:rsid w:val="004B71F4"/>
    <w:rsid w:val="004B73FD"/>
    <w:rsid w:val="004C0A30"/>
    <w:rsid w:val="004C19F9"/>
    <w:rsid w:val="004C2BC1"/>
    <w:rsid w:val="004C3B88"/>
    <w:rsid w:val="004C5694"/>
    <w:rsid w:val="004C7657"/>
    <w:rsid w:val="004D525E"/>
    <w:rsid w:val="004D5E7E"/>
    <w:rsid w:val="004E1FE2"/>
    <w:rsid w:val="004E26B1"/>
    <w:rsid w:val="004E2AB7"/>
    <w:rsid w:val="004E777F"/>
    <w:rsid w:val="004F07F6"/>
    <w:rsid w:val="004F3954"/>
    <w:rsid w:val="004F4E43"/>
    <w:rsid w:val="004F6171"/>
    <w:rsid w:val="004F62E9"/>
    <w:rsid w:val="004F6733"/>
    <w:rsid w:val="004F6FC4"/>
    <w:rsid w:val="0050221E"/>
    <w:rsid w:val="005057ED"/>
    <w:rsid w:val="00513AB3"/>
    <w:rsid w:val="005141B5"/>
    <w:rsid w:val="00514D61"/>
    <w:rsid w:val="00525563"/>
    <w:rsid w:val="0052574C"/>
    <w:rsid w:val="00527EE0"/>
    <w:rsid w:val="0053197D"/>
    <w:rsid w:val="005334EE"/>
    <w:rsid w:val="005464A2"/>
    <w:rsid w:val="00551FA2"/>
    <w:rsid w:val="00553B34"/>
    <w:rsid w:val="00556F4C"/>
    <w:rsid w:val="00562F50"/>
    <w:rsid w:val="00567AFB"/>
    <w:rsid w:val="0057107E"/>
    <w:rsid w:val="0057448A"/>
    <w:rsid w:val="00582270"/>
    <w:rsid w:val="005832F0"/>
    <w:rsid w:val="00584C03"/>
    <w:rsid w:val="00584D35"/>
    <w:rsid w:val="005871BC"/>
    <w:rsid w:val="005905CE"/>
    <w:rsid w:val="00593B1E"/>
    <w:rsid w:val="005A0C9D"/>
    <w:rsid w:val="005A134E"/>
    <w:rsid w:val="005A1E23"/>
    <w:rsid w:val="005A2476"/>
    <w:rsid w:val="005A2A5C"/>
    <w:rsid w:val="005A4C06"/>
    <w:rsid w:val="005A57D3"/>
    <w:rsid w:val="005B2D9C"/>
    <w:rsid w:val="005C3B78"/>
    <w:rsid w:val="005C4FAA"/>
    <w:rsid w:val="005C54D6"/>
    <w:rsid w:val="005C7193"/>
    <w:rsid w:val="005C73AD"/>
    <w:rsid w:val="005D0775"/>
    <w:rsid w:val="005D09DA"/>
    <w:rsid w:val="005D2BB9"/>
    <w:rsid w:val="005D4957"/>
    <w:rsid w:val="005D6F1A"/>
    <w:rsid w:val="005E3EA5"/>
    <w:rsid w:val="005E3F28"/>
    <w:rsid w:val="005E457E"/>
    <w:rsid w:val="005F136A"/>
    <w:rsid w:val="005F6B5E"/>
    <w:rsid w:val="005F7E60"/>
    <w:rsid w:val="00601815"/>
    <w:rsid w:val="00605E0D"/>
    <w:rsid w:val="00607606"/>
    <w:rsid w:val="006140D7"/>
    <w:rsid w:val="00620338"/>
    <w:rsid w:val="006221E0"/>
    <w:rsid w:val="00623B13"/>
    <w:rsid w:val="006245E2"/>
    <w:rsid w:val="00633635"/>
    <w:rsid w:val="00636B1D"/>
    <w:rsid w:val="00641349"/>
    <w:rsid w:val="00641425"/>
    <w:rsid w:val="006436FE"/>
    <w:rsid w:val="00650B24"/>
    <w:rsid w:val="0065343B"/>
    <w:rsid w:val="00663DA4"/>
    <w:rsid w:val="006730B8"/>
    <w:rsid w:val="0067563C"/>
    <w:rsid w:val="00676856"/>
    <w:rsid w:val="00677DBB"/>
    <w:rsid w:val="006856B8"/>
    <w:rsid w:val="0068587D"/>
    <w:rsid w:val="00686504"/>
    <w:rsid w:val="006868AB"/>
    <w:rsid w:val="0069103C"/>
    <w:rsid w:val="006A352B"/>
    <w:rsid w:val="006A747D"/>
    <w:rsid w:val="006A7EAF"/>
    <w:rsid w:val="006B01DC"/>
    <w:rsid w:val="006B38C9"/>
    <w:rsid w:val="006B5A9E"/>
    <w:rsid w:val="006C312D"/>
    <w:rsid w:val="006D1C28"/>
    <w:rsid w:val="006D6949"/>
    <w:rsid w:val="006E021D"/>
    <w:rsid w:val="006E1AB1"/>
    <w:rsid w:val="006E440E"/>
    <w:rsid w:val="006E7CB4"/>
    <w:rsid w:val="006F50FB"/>
    <w:rsid w:val="00702911"/>
    <w:rsid w:val="0070352E"/>
    <w:rsid w:val="007040B3"/>
    <w:rsid w:val="00705DED"/>
    <w:rsid w:val="00707C64"/>
    <w:rsid w:val="0071014F"/>
    <w:rsid w:val="00713D8C"/>
    <w:rsid w:val="007148CD"/>
    <w:rsid w:val="007236A8"/>
    <w:rsid w:val="00725D72"/>
    <w:rsid w:val="007315B2"/>
    <w:rsid w:val="007358ED"/>
    <w:rsid w:val="0073590F"/>
    <w:rsid w:val="0073669A"/>
    <w:rsid w:val="00741155"/>
    <w:rsid w:val="00751BA6"/>
    <w:rsid w:val="00752EB6"/>
    <w:rsid w:val="007530BB"/>
    <w:rsid w:val="007577C8"/>
    <w:rsid w:val="00761088"/>
    <w:rsid w:val="007669CF"/>
    <w:rsid w:val="00771238"/>
    <w:rsid w:val="007724D6"/>
    <w:rsid w:val="00773B72"/>
    <w:rsid w:val="0077487E"/>
    <w:rsid w:val="007801DB"/>
    <w:rsid w:val="007812A0"/>
    <w:rsid w:val="00782405"/>
    <w:rsid w:val="007826E3"/>
    <w:rsid w:val="00790EA6"/>
    <w:rsid w:val="00793DD3"/>
    <w:rsid w:val="007966B1"/>
    <w:rsid w:val="007A2324"/>
    <w:rsid w:val="007B2BCF"/>
    <w:rsid w:val="007B4BF6"/>
    <w:rsid w:val="007B5056"/>
    <w:rsid w:val="007B7EE5"/>
    <w:rsid w:val="007C0863"/>
    <w:rsid w:val="007C3160"/>
    <w:rsid w:val="007C7B56"/>
    <w:rsid w:val="007D4915"/>
    <w:rsid w:val="007D4DBC"/>
    <w:rsid w:val="007D57A1"/>
    <w:rsid w:val="007E23A6"/>
    <w:rsid w:val="007E2811"/>
    <w:rsid w:val="007E329D"/>
    <w:rsid w:val="007E4820"/>
    <w:rsid w:val="007E6E87"/>
    <w:rsid w:val="007F3B87"/>
    <w:rsid w:val="00802702"/>
    <w:rsid w:val="00802769"/>
    <w:rsid w:val="008116E9"/>
    <w:rsid w:val="00812D02"/>
    <w:rsid w:val="00813205"/>
    <w:rsid w:val="008146B7"/>
    <w:rsid w:val="008235CD"/>
    <w:rsid w:val="00823B3E"/>
    <w:rsid w:val="00832D2A"/>
    <w:rsid w:val="00832DC8"/>
    <w:rsid w:val="00834EF9"/>
    <w:rsid w:val="0083669B"/>
    <w:rsid w:val="00844D0F"/>
    <w:rsid w:val="00846FA1"/>
    <w:rsid w:val="00855B40"/>
    <w:rsid w:val="008567FC"/>
    <w:rsid w:val="00856E86"/>
    <w:rsid w:val="00860056"/>
    <w:rsid w:val="008602B3"/>
    <w:rsid w:val="008614EF"/>
    <w:rsid w:val="008619E0"/>
    <w:rsid w:val="00862FE8"/>
    <w:rsid w:val="00874B80"/>
    <w:rsid w:val="0088162A"/>
    <w:rsid w:val="00881BB1"/>
    <w:rsid w:val="008835F2"/>
    <w:rsid w:val="00886A46"/>
    <w:rsid w:val="0088796D"/>
    <w:rsid w:val="00890B08"/>
    <w:rsid w:val="00890EA3"/>
    <w:rsid w:val="00892966"/>
    <w:rsid w:val="008A4FB0"/>
    <w:rsid w:val="008A6E55"/>
    <w:rsid w:val="008B04D0"/>
    <w:rsid w:val="008B0D4E"/>
    <w:rsid w:val="008B66EF"/>
    <w:rsid w:val="008C7F5A"/>
    <w:rsid w:val="008D107D"/>
    <w:rsid w:val="008D12C8"/>
    <w:rsid w:val="008D219B"/>
    <w:rsid w:val="008D3741"/>
    <w:rsid w:val="008E3412"/>
    <w:rsid w:val="008E7E73"/>
    <w:rsid w:val="00902762"/>
    <w:rsid w:val="00906328"/>
    <w:rsid w:val="009115D3"/>
    <w:rsid w:val="00912999"/>
    <w:rsid w:val="009150EC"/>
    <w:rsid w:val="00917B0F"/>
    <w:rsid w:val="00917F1F"/>
    <w:rsid w:val="009203D1"/>
    <w:rsid w:val="00925277"/>
    <w:rsid w:val="0092717F"/>
    <w:rsid w:val="00930FD0"/>
    <w:rsid w:val="009312B1"/>
    <w:rsid w:val="00936373"/>
    <w:rsid w:val="00936F51"/>
    <w:rsid w:val="0094170D"/>
    <w:rsid w:val="00941CDE"/>
    <w:rsid w:val="0094328A"/>
    <w:rsid w:val="00946934"/>
    <w:rsid w:val="0094788C"/>
    <w:rsid w:val="009507DB"/>
    <w:rsid w:val="00957924"/>
    <w:rsid w:val="00963452"/>
    <w:rsid w:val="009648A2"/>
    <w:rsid w:val="0096619E"/>
    <w:rsid w:val="00973E27"/>
    <w:rsid w:val="009752BC"/>
    <w:rsid w:val="0097627B"/>
    <w:rsid w:val="00981CB0"/>
    <w:rsid w:val="00984912"/>
    <w:rsid w:val="0098744B"/>
    <w:rsid w:val="0099194E"/>
    <w:rsid w:val="0099372D"/>
    <w:rsid w:val="00995251"/>
    <w:rsid w:val="00996896"/>
    <w:rsid w:val="009A33E5"/>
    <w:rsid w:val="009A7A3C"/>
    <w:rsid w:val="009B13AE"/>
    <w:rsid w:val="009B5A01"/>
    <w:rsid w:val="009B5D01"/>
    <w:rsid w:val="009C0A18"/>
    <w:rsid w:val="009C6910"/>
    <w:rsid w:val="009D14D7"/>
    <w:rsid w:val="009E006B"/>
    <w:rsid w:val="009E150F"/>
    <w:rsid w:val="009E4AC9"/>
    <w:rsid w:val="009E4F4D"/>
    <w:rsid w:val="009F4117"/>
    <w:rsid w:val="00A02D2C"/>
    <w:rsid w:val="00A053A2"/>
    <w:rsid w:val="00A06DE3"/>
    <w:rsid w:val="00A17E82"/>
    <w:rsid w:val="00A35B68"/>
    <w:rsid w:val="00A37039"/>
    <w:rsid w:val="00A47FD1"/>
    <w:rsid w:val="00A5210F"/>
    <w:rsid w:val="00A53C54"/>
    <w:rsid w:val="00A53E1E"/>
    <w:rsid w:val="00A57CFF"/>
    <w:rsid w:val="00A66FF6"/>
    <w:rsid w:val="00A672D6"/>
    <w:rsid w:val="00A67CF2"/>
    <w:rsid w:val="00A71FAB"/>
    <w:rsid w:val="00A720F2"/>
    <w:rsid w:val="00A747D1"/>
    <w:rsid w:val="00A85EB5"/>
    <w:rsid w:val="00A8613C"/>
    <w:rsid w:val="00A871EF"/>
    <w:rsid w:val="00A914BB"/>
    <w:rsid w:val="00AA1FF2"/>
    <w:rsid w:val="00AA4290"/>
    <w:rsid w:val="00AA6E45"/>
    <w:rsid w:val="00AB062E"/>
    <w:rsid w:val="00AB254A"/>
    <w:rsid w:val="00AB34F7"/>
    <w:rsid w:val="00AB436A"/>
    <w:rsid w:val="00AB5B9E"/>
    <w:rsid w:val="00AC37B7"/>
    <w:rsid w:val="00AC7A7E"/>
    <w:rsid w:val="00AD02BE"/>
    <w:rsid w:val="00AD2598"/>
    <w:rsid w:val="00AD39F5"/>
    <w:rsid w:val="00AD4120"/>
    <w:rsid w:val="00AE147B"/>
    <w:rsid w:val="00AE1EC1"/>
    <w:rsid w:val="00AE40B2"/>
    <w:rsid w:val="00AF30E4"/>
    <w:rsid w:val="00B03D77"/>
    <w:rsid w:val="00B053F7"/>
    <w:rsid w:val="00B05791"/>
    <w:rsid w:val="00B06B79"/>
    <w:rsid w:val="00B06D1E"/>
    <w:rsid w:val="00B12275"/>
    <w:rsid w:val="00B135F5"/>
    <w:rsid w:val="00B148E5"/>
    <w:rsid w:val="00B169EC"/>
    <w:rsid w:val="00B23C0A"/>
    <w:rsid w:val="00B24E82"/>
    <w:rsid w:val="00B26411"/>
    <w:rsid w:val="00B30400"/>
    <w:rsid w:val="00B3434C"/>
    <w:rsid w:val="00B360DA"/>
    <w:rsid w:val="00B3669D"/>
    <w:rsid w:val="00B36E8C"/>
    <w:rsid w:val="00B47FB4"/>
    <w:rsid w:val="00B55415"/>
    <w:rsid w:val="00B57865"/>
    <w:rsid w:val="00B629A6"/>
    <w:rsid w:val="00B62A5E"/>
    <w:rsid w:val="00B642D3"/>
    <w:rsid w:val="00B655AA"/>
    <w:rsid w:val="00B658E7"/>
    <w:rsid w:val="00B7109E"/>
    <w:rsid w:val="00B83A81"/>
    <w:rsid w:val="00B873DD"/>
    <w:rsid w:val="00B87707"/>
    <w:rsid w:val="00B87D55"/>
    <w:rsid w:val="00B91513"/>
    <w:rsid w:val="00B9198F"/>
    <w:rsid w:val="00B93DD3"/>
    <w:rsid w:val="00BA0D1F"/>
    <w:rsid w:val="00BA28FE"/>
    <w:rsid w:val="00BA337C"/>
    <w:rsid w:val="00BA3A8A"/>
    <w:rsid w:val="00BA459F"/>
    <w:rsid w:val="00BA45DD"/>
    <w:rsid w:val="00BA59E5"/>
    <w:rsid w:val="00BA6084"/>
    <w:rsid w:val="00BA68C4"/>
    <w:rsid w:val="00BA6CD0"/>
    <w:rsid w:val="00BB693A"/>
    <w:rsid w:val="00BC3311"/>
    <w:rsid w:val="00BC4204"/>
    <w:rsid w:val="00BC67CD"/>
    <w:rsid w:val="00BD0B25"/>
    <w:rsid w:val="00BD3F64"/>
    <w:rsid w:val="00BD41A6"/>
    <w:rsid w:val="00BD64B5"/>
    <w:rsid w:val="00BE2901"/>
    <w:rsid w:val="00BE5E22"/>
    <w:rsid w:val="00BF6E62"/>
    <w:rsid w:val="00C00A01"/>
    <w:rsid w:val="00C0205D"/>
    <w:rsid w:val="00C027D6"/>
    <w:rsid w:val="00C14363"/>
    <w:rsid w:val="00C15029"/>
    <w:rsid w:val="00C15E28"/>
    <w:rsid w:val="00C21E51"/>
    <w:rsid w:val="00C23A5F"/>
    <w:rsid w:val="00C23E1E"/>
    <w:rsid w:val="00C24357"/>
    <w:rsid w:val="00C31CD2"/>
    <w:rsid w:val="00C33A73"/>
    <w:rsid w:val="00C379E0"/>
    <w:rsid w:val="00C37D7B"/>
    <w:rsid w:val="00C40D33"/>
    <w:rsid w:val="00C52CDC"/>
    <w:rsid w:val="00C5328D"/>
    <w:rsid w:val="00C53AEF"/>
    <w:rsid w:val="00C562BA"/>
    <w:rsid w:val="00C574AA"/>
    <w:rsid w:val="00C62806"/>
    <w:rsid w:val="00C650CA"/>
    <w:rsid w:val="00C7018E"/>
    <w:rsid w:val="00C70C9A"/>
    <w:rsid w:val="00C7699E"/>
    <w:rsid w:val="00C77E0B"/>
    <w:rsid w:val="00C856AC"/>
    <w:rsid w:val="00C8786D"/>
    <w:rsid w:val="00C95951"/>
    <w:rsid w:val="00C960D9"/>
    <w:rsid w:val="00CA4177"/>
    <w:rsid w:val="00CA4DEB"/>
    <w:rsid w:val="00CA5170"/>
    <w:rsid w:val="00CA7F32"/>
    <w:rsid w:val="00CB5161"/>
    <w:rsid w:val="00CB7FB2"/>
    <w:rsid w:val="00CB7FED"/>
    <w:rsid w:val="00CD0D4D"/>
    <w:rsid w:val="00CD1317"/>
    <w:rsid w:val="00CD3A17"/>
    <w:rsid w:val="00CD6C5E"/>
    <w:rsid w:val="00CE2116"/>
    <w:rsid w:val="00CE6054"/>
    <w:rsid w:val="00CE65FA"/>
    <w:rsid w:val="00CE6BEA"/>
    <w:rsid w:val="00CF6722"/>
    <w:rsid w:val="00CF6A10"/>
    <w:rsid w:val="00CF70A6"/>
    <w:rsid w:val="00D013F1"/>
    <w:rsid w:val="00D07CA4"/>
    <w:rsid w:val="00D10AA9"/>
    <w:rsid w:val="00D1382C"/>
    <w:rsid w:val="00D14886"/>
    <w:rsid w:val="00D15529"/>
    <w:rsid w:val="00D16764"/>
    <w:rsid w:val="00D17F39"/>
    <w:rsid w:val="00D30078"/>
    <w:rsid w:val="00D3104F"/>
    <w:rsid w:val="00D32629"/>
    <w:rsid w:val="00D34819"/>
    <w:rsid w:val="00D368D1"/>
    <w:rsid w:val="00D421B1"/>
    <w:rsid w:val="00D425D9"/>
    <w:rsid w:val="00D43E5C"/>
    <w:rsid w:val="00D55206"/>
    <w:rsid w:val="00D553BF"/>
    <w:rsid w:val="00D60D43"/>
    <w:rsid w:val="00D60E16"/>
    <w:rsid w:val="00D61C53"/>
    <w:rsid w:val="00D63E81"/>
    <w:rsid w:val="00D65FB7"/>
    <w:rsid w:val="00D662FF"/>
    <w:rsid w:val="00D66411"/>
    <w:rsid w:val="00D779DF"/>
    <w:rsid w:val="00D80BF9"/>
    <w:rsid w:val="00D81D4E"/>
    <w:rsid w:val="00D82A99"/>
    <w:rsid w:val="00D90054"/>
    <w:rsid w:val="00D930B3"/>
    <w:rsid w:val="00DA027B"/>
    <w:rsid w:val="00DA6F70"/>
    <w:rsid w:val="00DA7962"/>
    <w:rsid w:val="00DB0A09"/>
    <w:rsid w:val="00DB104E"/>
    <w:rsid w:val="00DB4256"/>
    <w:rsid w:val="00DC04C0"/>
    <w:rsid w:val="00DC3195"/>
    <w:rsid w:val="00DC42C7"/>
    <w:rsid w:val="00DC6F46"/>
    <w:rsid w:val="00DC770A"/>
    <w:rsid w:val="00DD0AD4"/>
    <w:rsid w:val="00DD477C"/>
    <w:rsid w:val="00DD7121"/>
    <w:rsid w:val="00DD7A89"/>
    <w:rsid w:val="00DD7BC5"/>
    <w:rsid w:val="00DE310A"/>
    <w:rsid w:val="00DE493A"/>
    <w:rsid w:val="00DE56A7"/>
    <w:rsid w:val="00DF4B10"/>
    <w:rsid w:val="00E041DE"/>
    <w:rsid w:val="00E1605F"/>
    <w:rsid w:val="00E1624B"/>
    <w:rsid w:val="00E16862"/>
    <w:rsid w:val="00E16DBA"/>
    <w:rsid w:val="00E17D1D"/>
    <w:rsid w:val="00E21FEF"/>
    <w:rsid w:val="00E253E7"/>
    <w:rsid w:val="00E265F3"/>
    <w:rsid w:val="00E26B8D"/>
    <w:rsid w:val="00E26E7B"/>
    <w:rsid w:val="00E31145"/>
    <w:rsid w:val="00E34F20"/>
    <w:rsid w:val="00E363A2"/>
    <w:rsid w:val="00E43F64"/>
    <w:rsid w:val="00E43F8D"/>
    <w:rsid w:val="00E4485B"/>
    <w:rsid w:val="00E543D8"/>
    <w:rsid w:val="00E60C06"/>
    <w:rsid w:val="00E63D73"/>
    <w:rsid w:val="00E652A5"/>
    <w:rsid w:val="00E751D9"/>
    <w:rsid w:val="00E77938"/>
    <w:rsid w:val="00E77D5D"/>
    <w:rsid w:val="00E81280"/>
    <w:rsid w:val="00E815E9"/>
    <w:rsid w:val="00E8327A"/>
    <w:rsid w:val="00E86088"/>
    <w:rsid w:val="00E86CC1"/>
    <w:rsid w:val="00E876B6"/>
    <w:rsid w:val="00E94304"/>
    <w:rsid w:val="00E94E06"/>
    <w:rsid w:val="00EA6F22"/>
    <w:rsid w:val="00EA785A"/>
    <w:rsid w:val="00EB2BE0"/>
    <w:rsid w:val="00EB36A7"/>
    <w:rsid w:val="00EB4086"/>
    <w:rsid w:val="00EB5917"/>
    <w:rsid w:val="00EB65D8"/>
    <w:rsid w:val="00EB7674"/>
    <w:rsid w:val="00EC142D"/>
    <w:rsid w:val="00EC5FEA"/>
    <w:rsid w:val="00ED02F0"/>
    <w:rsid w:val="00ED16D4"/>
    <w:rsid w:val="00EE2A30"/>
    <w:rsid w:val="00F077DF"/>
    <w:rsid w:val="00F11200"/>
    <w:rsid w:val="00F11CEF"/>
    <w:rsid w:val="00F21747"/>
    <w:rsid w:val="00F23FD1"/>
    <w:rsid w:val="00F240AD"/>
    <w:rsid w:val="00F249F4"/>
    <w:rsid w:val="00F2627C"/>
    <w:rsid w:val="00F269CE"/>
    <w:rsid w:val="00F26F0B"/>
    <w:rsid w:val="00F315CC"/>
    <w:rsid w:val="00F31F48"/>
    <w:rsid w:val="00F33B20"/>
    <w:rsid w:val="00F4341D"/>
    <w:rsid w:val="00F446DD"/>
    <w:rsid w:val="00F4641D"/>
    <w:rsid w:val="00F465A2"/>
    <w:rsid w:val="00F47A76"/>
    <w:rsid w:val="00F5018C"/>
    <w:rsid w:val="00F5253A"/>
    <w:rsid w:val="00F57346"/>
    <w:rsid w:val="00F72750"/>
    <w:rsid w:val="00F7307C"/>
    <w:rsid w:val="00F777D9"/>
    <w:rsid w:val="00F81963"/>
    <w:rsid w:val="00F86425"/>
    <w:rsid w:val="00F878D4"/>
    <w:rsid w:val="00F90242"/>
    <w:rsid w:val="00F91D1B"/>
    <w:rsid w:val="00FA2710"/>
    <w:rsid w:val="00FA3CEF"/>
    <w:rsid w:val="00FA6AF4"/>
    <w:rsid w:val="00FB2B9D"/>
    <w:rsid w:val="00FB2C36"/>
    <w:rsid w:val="00FB3628"/>
    <w:rsid w:val="00FC464D"/>
    <w:rsid w:val="00FC48B6"/>
    <w:rsid w:val="00FC58F3"/>
    <w:rsid w:val="00FD0DB2"/>
    <w:rsid w:val="00FD4A3A"/>
    <w:rsid w:val="00FE1C2B"/>
    <w:rsid w:val="00FE46F3"/>
    <w:rsid w:val="00FE547F"/>
    <w:rsid w:val="00FF083C"/>
    <w:rsid w:val="00FF2428"/>
    <w:rsid w:val="00FF2E3F"/>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C0BBD4"/>
  <w15:docId w15:val="{EE28EAB3-EFA3-9F40-A3F8-45F2391E5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1"/>
    <w:qFormat/>
    <w:rsid w:val="006B5A9E"/>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semiHidden/>
    <w:unhideWhenUsed/>
    <w:qFormat/>
    <w:rsid w:val="002717C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itolo3">
    <w:name w:val="heading 3"/>
    <w:basedOn w:val="Normale"/>
    <w:next w:val="Normale"/>
    <w:link w:val="Titolo3Carattere"/>
    <w:uiPriority w:val="9"/>
    <w:semiHidden/>
    <w:unhideWhenUsed/>
    <w:qFormat/>
    <w:rsid w:val="00F4641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ilePaola">
    <w:name w:val="StilePaola"/>
    <w:basedOn w:val="NormaleWeb"/>
    <w:link w:val="StilePaolaCarattere"/>
    <w:qFormat/>
    <w:rsid w:val="009150EC"/>
    <w:pPr>
      <w:shd w:val="clear" w:color="auto" w:fill="FFFFFF"/>
      <w:tabs>
        <w:tab w:val="right" w:leader="dot" w:pos="7371"/>
      </w:tabs>
      <w:spacing w:before="100" w:after="0" w:line="0" w:lineRule="atLeast"/>
      <w:jc w:val="both"/>
    </w:pPr>
    <w:rPr>
      <w:rFonts w:ascii="Cambria" w:hAnsi="Cambria" w:cs="Helvetica"/>
      <w:color w:val="808080" w:themeColor="background1" w:themeShade="80"/>
    </w:rPr>
  </w:style>
  <w:style w:type="character" w:customStyle="1" w:styleId="StilePaolaCarattere">
    <w:name w:val="StilePaola Carattere"/>
    <w:basedOn w:val="Carpredefinitoparagrafo"/>
    <w:link w:val="StilePaola"/>
    <w:rsid w:val="009150EC"/>
    <w:rPr>
      <w:rFonts w:ascii="Cambria" w:hAnsi="Cambria" w:cs="Helvetica"/>
      <w:color w:val="808080" w:themeColor="background1" w:themeShade="80"/>
      <w:sz w:val="24"/>
      <w:szCs w:val="24"/>
      <w:shd w:val="clear" w:color="auto" w:fill="FFFFFF"/>
    </w:rPr>
  </w:style>
  <w:style w:type="paragraph" w:styleId="NormaleWeb">
    <w:name w:val="Normal (Web)"/>
    <w:basedOn w:val="Normale"/>
    <w:link w:val="NormaleWebCarattere"/>
    <w:uiPriority w:val="99"/>
    <w:unhideWhenUsed/>
    <w:rsid w:val="009150EC"/>
    <w:rPr>
      <w:rFonts w:ascii="Times New Roman" w:hAnsi="Times New Roman" w:cs="Times New Roman"/>
      <w:sz w:val="24"/>
      <w:szCs w:val="24"/>
    </w:rPr>
  </w:style>
  <w:style w:type="paragraph" w:styleId="Testonormale">
    <w:name w:val="Plain Text"/>
    <w:basedOn w:val="Normale"/>
    <w:link w:val="TestonormaleCarattere"/>
    <w:uiPriority w:val="99"/>
    <w:semiHidden/>
    <w:rsid w:val="00BD41A6"/>
    <w:pPr>
      <w:tabs>
        <w:tab w:val="right" w:leader="dot" w:pos="7371"/>
      </w:tabs>
      <w:spacing w:after="0" w:line="240" w:lineRule="auto"/>
    </w:pPr>
    <w:rPr>
      <w:rFonts w:ascii="Courier New" w:eastAsia="Times New Roman" w:hAnsi="Courier New" w:cs="Times New Roman"/>
      <w:sz w:val="20"/>
      <w:szCs w:val="20"/>
      <w:lang w:eastAsia="it-IT"/>
    </w:rPr>
  </w:style>
  <w:style w:type="character" w:customStyle="1" w:styleId="TestonormaleCarattere">
    <w:name w:val="Testo normale Carattere"/>
    <w:basedOn w:val="Carpredefinitoparagrafo"/>
    <w:link w:val="Testonormale"/>
    <w:uiPriority w:val="99"/>
    <w:semiHidden/>
    <w:rsid w:val="00BD41A6"/>
    <w:rPr>
      <w:rFonts w:ascii="Courier New" w:eastAsia="Times New Roman" w:hAnsi="Courier New" w:cs="Times New Roman"/>
      <w:sz w:val="20"/>
      <w:szCs w:val="20"/>
      <w:lang w:eastAsia="it-IT"/>
    </w:rPr>
  </w:style>
  <w:style w:type="paragraph" w:customStyle="1" w:styleId="Default">
    <w:name w:val="Default"/>
    <w:rsid w:val="00BD41A6"/>
    <w:pPr>
      <w:autoSpaceDE w:val="0"/>
      <w:autoSpaceDN w:val="0"/>
      <w:adjustRightInd w:val="0"/>
      <w:spacing w:after="0" w:line="240" w:lineRule="auto"/>
    </w:pPr>
    <w:rPr>
      <w:rFonts w:ascii="DIN" w:eastAsia="Calibri" w:hAnsi="DIN" w:cs="DIN"/>
      <w:color w:val="000000"/>
      <w:sz w:val="24"/>
      <w:szCs w:val="24"/>
    </w:rPr>
  </w:style>
  <w:style w:type="character" w:customStyle="1" w:styleId="Titolo1Carattere">
    <w:name w:val="Titolo 1 Carattere"/>
    <w:basedOn w:val="Carpredefinitoparagrafo"/>
    <w:link w:val="Titolo1"/>
    <w:uiPriority w:val="1"/>
    <w:rsid w:val="006B5A9E"/>
    <w:rPr>
      <w:rFonts w:asciiTheme="majorHAnsi" w:eastAsiaTheme="majorEastAsia" w:hAnsiTheme="majorHAnsi" w:cstheme="majorBidi"/>
      <w:b/>
      <w:bCs/>
      <w:color w:val="2E74B5" w:themeColor="accent1" w:themeShade="BF"/>
      <w:sz w:val="28"/>
      <w:szCs w:val="28"/>
    </w:rPr>
  </w:style>
  <w:style w:type="paragraph" w:styleId="Corpotesto">
    <w:name w:val="Body Text"/>
    <w:basedOn w:val="Normale"/>
    <w:link w:val="CorpotestoCarattere"/>
    <w:uiPriority w:val="1"/>
    <w:qFormat/>
    <w:rsid w:val="006B5A9E"/>
    <w:pPr>
      <w:widowControl w:val="0"/>
      <w:autoSpaceDE w:val="0"/>
      <w:autoSpaceDN w:val="0"/>
      <w:spacing w:after="0" w:line="280" w:lineRule="exact"/>
      <w:jc w:val="both"/>
    </w:pPr>
    <w:rPr>
      <w:rFonts w:ascii="Helvetica LT Std Cond" w:eastAsia="Helvetica LT Std Cond" w:hAnsi="Helvetica LT Std Cond" w:cs="Helvetica LT Std Cond"/>
      <w:sz w:val="24"/>
      <w:szCs w:val="24"/>
      <w:lang w:val="en-US"/>
    </w:rPr>
  </w:style>
  <w:style w:type="character" w:customStyle="1" w:styleId="CorpotestoCarattere">
    <w:name w:val="Corpo testo Carattere"/>
    <w:basedOn w:val="Carpredefinitoparagrafo"/>
    <w:link w:val="Corpotesto"/>
    <w:uiPriority w:val="1"/>
    <w:rsid w:val="006B5A9E"/>
    <w:rPr>
      <w:rFonts w:ascii="Helvetica LT Std Cond" w:eastAsia="Helvetica LT Std Cond" w:hAnsi="Helvetica LT Std Cond" w:cs="Helvetica LT Std Cond"/>
      <w:sz w:val="24"/>
      <w:szCs w:val="24"/>
      <w:lang w:val="en-US"/>
    </w:rPr>
  </w:style>
  <w:style w:type="character" w:customStyle="1" w:styleId="NormaleWebCarattere">
    <w:name w:val="Normale (Web) Carattere"/>
    <w:basedOn w:val="Carpredefinitoparagrafo"/>
    <w:link w:val="NormaleWeb"/>
    <w:uiPriority w:val="99"/>
    <w:rsid w:val="006B5A9E"/>
    <w:rPr>
      <w:rFonts w:ascii="Times New Roman" w:hAnsi="Times New Roman" w:cs="Times New Roman"/>
      <w:sz w:val="24"/>
      <w:szCs w:val="24"/>
    </w:rPr>
  </w:style>
  <w:style w:type="paragraph" w:styleId="Testonotaapidipagina">
    <w:name w:val="footnote text"/>
    <w:aliases w:val="Footnote1,Footnote2,Footnote3,Footnote4,Footnote5,Footnote6,Footnote7,Footnote8,Footnote9,Footnote10,Footnote11,Footnote21,Footnote31,Footnote41,Footnote51,Footnote61,Footnote71,Footnote81,Footnote91,Footnote12,fn Cha"/>
    <w:basedOn w:val="Normale"/>
    <w:link w:val="TestonotaapidipaginaCarattere"/>
    <w:uiPriority w:val="99"/>
    <w:unhideWhenUsed/>
    <w:qFormat/>
    <w:rsid w:val="006B5A9E"/>
    <w:pPr>
      <w:widowControl w:val="0"/>
      <w:autoSpaceDE w:val="0"/>
      <w:autoSpaceDN w:val="0"/>
      <w:spacing w:after="0" w:line="240" w:lineRule="auto"/>
    </w:pPr>
    <w:rPr>
      <w:rFonts w:ascii="Helvetica LT Std Cond" w:eastAsia="Helvetica LT Std Cond" w:hAnsi="Helvetica LT Std Cond" w:cs="Helvetica LT Std Cond"/>
      <w:sz w:val="20"/>
      <w:szCs w:val="20"/>
      <w:lang w:eastAsia="it-IT" w:bidi="it-IT"/>
    </w:rPr>
  </w:style>
  <w:style w:type="character" w:customStyle="1" w:styleId="TestonotaapidipaginaCarattere">
    <w:name w:val="Testo nota a piè di pagina Carattere"/>
    <w:aliases w:val="Footnote1 Carattere,Footnote2 Carattere,Footnote3 Carattere,Footnote4 Carattere,Footnote5 Carattere,Footnote6 Carattere,Footnote7 Carattere,Footnote8 Carattere,Footnote9 Carattere,Footnote10 Carattere"/>
    <w:basedOn w:val="Carpredefinitoparagrafo"/>
    <w:link w:val="Testonotaapidipagina"/>
    <w:uiPriority w:val="99"/>
    <w:qFormat/>
    <w:rsid w:val="006B5A9E"/>
    <w:rPr>
      <w:rFonts w:ascii="Helvetica LT Std Cond" w:eastAsia="Helvetica LT Std Cond" w:hAnsi="Helvetica LT Std Cond" w:cs="Helvetica LT Std Cond"/>
      <w:sz w:val="20"/>
      <w:szCs w:val="20"/>
      <w:lang w:eastAsia="it-IT" w:bidi="it-IT"/>
    </w:rPr>
  </w:style>
  <w:style w:type="character" w:styleId="Rimandonotaapidipagina">
    <w:name w:val="footnote reference"/>
    <w:aliases w:val="Footnote symbol,Times 10 Point,Exposant 3 Point,Footnote reference number,SUPERS,EN Footnote Reference,note TESI,stylish,number,no...,Footnote,Footnote Reference/,Footnote Reference Superscript,(Footnote Reference),ftr,Ref"/>
    <w:basedOn w:val="Carpredefinitoparagrafo"/>
    <w:link w:val="ftrefCharCharCharCharCharCharCharCharChar"/>
    <w:uiPriority w:val="99"/>
    <w:unhideWhenUsed/>
    <w:qFormat/>
    <w:rsid w:val="006B5A9E"/>
    <w:rPr>
      <w:vertAlign w:val="superscript"/>
    </w:rPr>
  </w:style>
  <w:style w:type="character" w:styleId="Enfasigrassetto">
    <w:name w:val="Strong"/>
    <w:basedOn w:val="Carpredefinitoparagrafo"/>
    <w:uiPriority w:val="22"/>
    <w:qFormat/>
    <w:rsid w:val="00F4641D"/>
    <w:rPr>
      <w:b/>
      <w:bCs/>
    </w:rPr>
  </w:style>
  <w:style w:type="character" w:customStyle="1" w:styleId="Titolo3Carattere">
    <w:name w:val="Titolo 3 Carattere"/>
    <w:basedOn w:val="Carpredefinitoparagrafo"/>
    <w:link w:val="Titolo3"/>
    <w:uiPriority w:val="9"/>
    <w:semiHidden/>
    <w:rsid w:val="00F4641D"/>
    <w:rPr>
      <w:rFonts w:asciiTheme="majorHAnsi" w:eastAsiaTheme="majorEastAsia" w:hAnsiTheme="majorHAnsi" w:cstheme="majorBidi"/>
      <w:color w:val="1F4D78" w:themeColor="accent1" w:themeShade="7F"/>
      <w:sz w:val="24"/>
      <w:szCs w:val="24"/>
    </w:rPr>
  </w:style>
  <w:style w:type="paragraph" w:styleId="Testofumetto">
    <w:name w:val="Balloon Text"/>
    <w:basedOn w:val="Normale"/>
    <w:link w:val="TestofumettoCarattere"/>
    <w:uiPriority w:val="99"/>
    <w:semiHidden/>
    <w:unhideWhenUsed/>
    <w:rsid w:val="00E543D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543D8"/>
    <w:rPr>
      <w:rFonts w:ascii="Tahoma" w:hAnsi="Tahoma" w:cs="Tahoma"/>
      <w:sz w:val="16"/>
      <w:szCs w:val="16"/>
    </w:rPr>
  </w:style>
  <w:style w:type="paragraph" w:customStyle="1" w:styleId="ATitoloparagrafo">
    <w:name w:val="A.Titolo paragrafo"/>
    <w:basedOn w:val="Normale"/>
    <w:link w:val="ATitoloparagrafoCarattere"/>
    <w:rsid w:val="00E16DBA"/>
    <w:pPr>
      <w:tabs>
        <w:tab w:val="left" w:pos="432"/>
        <w:tab w:val="left" w:pos="720"/>
        <w:tab w:val="left" w:pos="1440"/>
        <w:tab w:val="left" w:pos="2160"/>
        <w:tab w:val="left" w:pos="3119"/>
        <w:tab w:val="left" w:pos="3600"/>
        <w:tab w:val="left" w:pos="4320"/>
        <w:tab w:val="left" w:pos="5040"/>
        <w:tab w:val="left" w:pos="5760"/>
        <w:tab w:val="left" w:pos="6480"/>
        <w:tab w:val="left" w:pos="7200"/>
        <w:tab w:val="right" w:leader="dot" w:pos="7371"/>
        <w:tab w:val="left" w:pos="7920"/>
        <w:tab w:val="left" w:pos="8640"/>
      </w:tabs>
      <w:spacing w:before="440" w:after="220" w:line="240" w:lineRule="auto"/>
    </w:pPr>
    <w:rPr>
      <w:rFonts w:ascii="Times New Roman" w:eastAsia="Times New Roman" w:hAnsi="Times New Roman" w:cs="Times New Roman"/>
      <w:b/>
      <w:lang w:eastAsia="it-IT"/>
    </w:rPr>
  </w:style>
  <w:style w:type="character" w:customStyle="1" w:styleId="ATitoloparagrafoCarattere">
    <w:name w:val="A.Titolo paragrafo Carattere"/>
    <w:link w:val="ATitoloparagrafo"/>
    <w:rsid w:val="00E16DBA"/>
    <w:rPr>
      <w:rFonts w:ascii="Times New Roman" w:eastAsia="Times New Roman" w:hAnsi="Times New Roman" w:cs="Times New Roman"/>
      <w:b/>
      <w:lang w:eastAsia="it-IT"/>
    </w:rPr>
  </w:style>
  <w:style w:type="paragraph" w:styleId="Intestazione">
    <w:name w:val="header"/>
    <w:basedOn w:val="Normale"/>
    <w:link w:val="IntestazioneCarattere"/>
    <w:uiPriority w:val="99"/>
    <w:unhideWhenUsed/>
    <w:rsid w:val="00D43E5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43E5C"/>
  </w:style>
  <w:style w:type="paragraph" w:styleId="Pidipagina">
    <w:name w:val="footer"/>
    <w:basedOn w:val="Normale"/>
    <w:link w:val="PidipaginaCarattere"/>
    <w:uiPriority w:val="99"/>
    <w:unhideWhenUsed/>
    <w:rsid w:val="00D43E5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43E5C"/>
  </w:style>
  <w:style w:type="character" w:customStyle="1" w:styleId="Titolo2Carattere">
    <w:name w:val="Titolo 2 Carattere"/>
    <w:basedOn w:val="Carpredefinitoparagrafo"/>
    <w:link w:val="Titolo2"/>
    <w:uiPriority w:val="9"/>
    <w:semiHidden/>
    <w:rsid w:val="002717C6"/>
    <w:rPr>
      <w:rFonts w:asciiTheme="majorHAnsi" w:eastAsiaTheme="majorEastAsia" w:hAnsiTheme="majorHAnsi" w:cstheme="majorBidi"/>
      <w:b/>
      <w:bCs/>
      <w:color w:val="5B9BD5" w:themeColor="accent1"/>
      <w:sz w:val="26"/>
      <w:szCs w:val="26"/>
    </w:rPr>
  </w:style>
  <w:style w:type="character" w:styleId="Collegamentoipertestuale">
    <w:name w:val="Hyperlink"/>
    <w:basedOn w:val="Carpredefinitoparagrafo"/>
    <w:uiPriority w:val="99"/>
    <w:unhideWhenUsed/>
    <w:rsid w:val="002717C6"/>
    <w:rPr>
      <w:color w:val="0563C1" w:themeColor="hyperlink"/>
      <w:u w:val="single"/>
    </w:rPr>
  </w:style>
  <w:style w:type="paragraph" w:customStyle="1" w:styleId="ftrefCharCharCharCharCharCharCharCharChar">
    <w:name w:val="ftref Char Char Char Char Char Char Char Char Char"/>
    <w:aliases w:val="Footnote Char Char Char Char Char Char Char Char Char,BVI fnr Char Char Char Char Char Char Char Char Char,BVI fnr Char Char Char Char Char Char Char Char Char Char"/>
    <w:basedOn w:val="Normale"/>
    <w:next w:val="Normale"/>
    <w:link w:val="Rimandonotaapidipagina"/>
    <w:uiPriority w:val="99"/>
    <w:rsid w:val="006E7CB4"/>
    <w:pPr>
      <w:spacing w:line="240" w:lineRule="exact"/>
    </w:pPr>
    <w:rPr>
      <w:vertAlign w:val="superscript"/>
    </w:rPr>
  </w:style>
  <w:style w:type="character" w:styleId="Rimandocommento">
    <w:name w:val="annotation reference"/>
    <w:basedOn w:val="Carpredefinitoparagrafo"/>
    <w:uiPriority w:val="99"/>
    <w:unhideWhenUsed/>
    <w:rsid w:val="00E31145"/>
    <w:rPr>
      <w:sz w:val="16"/>
      <w:szCs w:val="16"/>
    </w:rPr>
  </w:style>
  <w:style w:type="paragraph" w:styleId="Testocommento">
    <w:name w:val="annotation text"/>
    <w:basedOn w:val="Normale"/>
    <w:link w:val="TestocommentoCarattere"/>
    <w:uiPriority w:val="99"/>
    <w:unhideWhenUsed/>
    <w:rsid w:val="00E31145"/>
    <w:pPr>
      <w:spacing w:line="240" w:lineRule="auto"/>
    </w:pPr>
    <w:rPr>
      <w:sz w:val="20"/>
      <w:szCs w:val="20"/>
    </w:rPr>
  </w:style>
  <w:style w:type="character" w:customStyle="1" w:styleId="TestocommentoCarattere">
    <w:name w:val="Testo commento Carattere"/>
    <w:basedOn w:val="Carpredefinitoparagrafo"/>
    <w:link w:val="Testocommento"/>
    <w:uiPriority w:val="99"/>
    <w:rsid w:val="00E31145"/>
    <w:rPr>
      <w:sz w:val="20"/>
      <w:szCs w:val="20"/>
    </w:rPr>
  </w:style>
  <w:style w:type="paragraph" w:styleId="Soggettocommento">
    <w:name w:val="annotation subject"/>
    <w:basedOn w:val="Testocommento"/>
    <w:next w:val="Testocommento"/>
    <w:link w:val="SoggettocommentoCarattere"/>
    <w:uiPriority w:val="99"/>
    <w:semiHidden/>
    <w:unhideWhenUsed/>
    <w:rsid w:val="00E31145"/>
    <w:rPr>
      <w:b/>
      <w:bCs/>
    </w:rPr>
  </w:style>
  <w:style w:type="character" w:customStyle="1" w:styleId="SoggettocommentoCarattere">
    <w:name w:val="Soggetto commento Carattere"/>
    <w:basedOn w:val="TestocommentoCarattere"/>
    <w:link w:val="Soggettocommento"/>
    <w:uiPriority w:val="99"/>
    <w:semiHidden/>
    <w:rsid w:val="00E31145"/>
    <w:rPr>
      <w:b/>
      <w:bCs/>
      <w:sz w:val="20"/>
      <w:szCs w:val="20"/>
    </w:rPr>
  </w:style>
  <w:style w:type="paragraph" w:styleId="Revisione">
    <w:name w:val="Revision"/>
    <w:hidden/>
    <w:uiPriority w:val="99"/>
    <w:semiHidden/>
    <w:rsid w:val="00FD4A3A"/>
    <w:pPr>
      <w:spacing w:after="0" w:line="240" w:lineRule="auto"/>
    </w:pPr>
  </w:style>
  <w:style w:type="character" w:customStyle="1" w:styleId="A5">
    <w:name w:val="A5"/>
    <w:uiPriority w:val="99"/>
    <w:rsid w:val="00497DEE"/>
    <w:rPr>
      <w:rFonts w:cs="Helvetica LT Std Cond"/>
      <w:color w:val="000000"/>
      <w:sz w:val="14"/>
      <w:szCs w:val="14"/>
    </w:rPr>
  </w:style>
  <w:style w:type="character" w:customStyle="1" w:styleId="A7">
    <w:name w:val="A7"/>
    <w:uiPriority w:val="99"/>
    <w:rsid w:val="00497DEE"/>
    <w:rPr>
      <w:rFonts w:cs="Helvetica LT Std Cond"/>
      <w:color w:val="000000"/>
      <w:u w:val="single"/>
    </w:rPr>
  </w:style>
  <w:style w:type="character" w:customStyle="1" w:styleId="A10">
    <w:name w:val="A10"/>
    <w:uiPriority w:val="99"/>
    <w:rsid w:val="000D1068"/>
    <w:rPr>
      <w:rFonts w:cs="Helvetica LT Std Cond"/>
      <w:color w:val="000000"/>
      <w:sz w:val="14"/>
      <w:szCs w:val="14"/>
    </w:rPr>
  </w:style>
  <w:style w:type="paragraph" w:customStyle="1" w:styleId="01testo">
    <w:name w:val="01_testo"/>
    <w:basedOn w:val="Normale"/>
    <w:link w:val="01testoCarattere"/>
    <w:uiPriority w:val="99"/>
    <w:qFormat/>
    <w:rsid w:val="00B06B79"/>
    <w:pPr>
      <w:spacing w:after="60" w:line="264" w:lineRule="auto"/>
      <w:jc w:val="both"/>
    </w:pPr>
    <w:rPr>
      <w:rFonts w:ascii="Arial" w:eastAsia="Times New Roman" w:hAnsi="Arial" w:cs="Calibri"/>
      <w:spacing w:val="2"/>
      <w:sz w:val="20"/>
    </w:rPr>
  </w:style>
  <w:style w:type="character" w:customStyle="1" w:styleId="01testoCarattere">
    <w:name w:val="01_testo Carattere"/>
    <w:link w:val="01testo"/>
    <w:uiPriority w:val="99"/>
    <w:locked/>
    <w:rsid w:val="00B06B79"/>
    <w:rPr>
      <w:rFonts w:ascii="Arial" w:eastAsia="Times New Roman" w:hAnsi="Arial" w:cs="Calibri"/>
      <w:spacing w:val="2"/>
      <w:sz w:val="20"/>
    </w:rPr>
  </w:style>
  <w:style w:type="paragraph" w:styleId="Paragrafoelenco">
    <w:name w:val="List Paragraph"/>
    <w:aliases w:val="Bullet point"/>
    <w:basedOn w:val="Normale"/>
    <w:uiPriority w:val="34"/>
    <w:qFormat/>
    <w:rsid w:val="00F2627C"/>
    <w:pPr>
      <w:widowControl w:val="0"/>
      <w:autoSpaceDE w:val="0"/>
      <w:autoSpaceDN w:val="0"/>
      <w:spacing w:after="0" w:line="240" w:lineRule="auto"/>
      <w:ind w:left="720"/>
      <w:contextualSpacing/>
    </w:pPr>
    <w:rPr>
      <w:rFonts w:ascii="Helvetica LT Std Cond" w:eastAsia="Helvetica LT Std Cond" w:hAnsi="Helvetica LT Std Cond" w:cs="Helvetica LT Std Cond"/>
      <w:lang w:val="en-US"/>
    </w:rPr>
  </w:style>
  <w:style w:type="table" w:styleId="Grigliatabella">
    <w:name w:val="Table Grid"/>
    <w:basedOn w:val="Tabellanormale"/>
    <w:uiPriority w:val="39"/>
    <w:rsid w:val="001B10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basedOn w:val="Carpredefinitoparagrafo"/>
    <w:rsid w:val="00311090"/>
  </w:style>
  <w:style w:type="paragraph" w:customStyle="1" w:styleId="Titoloparagrafo">
    <w:name w:val="Titolo paragrafo"/>
    <w:basedOn w:val="Normale"/>
    <w:uiPriority w:val="1"/>
    <w:qFormat/>
    <w:rsid w:val="00DA027B"/>
    <w:pPr>
      <w:spacing w:before="567" w:after="284" w:line="300" w:lineRule="exact"/>
    </w:pPr>
    <w:rPr>
      <w:rFonts w:ascii="Helvetica-Narrow-Bold" w:eastAsia="Helvetica-Narrow-Bold" w:hAnsi="Helvetica-Narrow-Bold" w:cs="Helvetica-Narrow-Bold"/>
      <w:color w:val="231F20"/>
      <w:w w:val="85"/>
      <w:sz w:val="28"/>
      <w:szCs w:val="30"/>
    </w:rPr>
  </w:style>
  <w:style w:type="paragraph" w:customStyle="1" w:styleId="IWP21BibliografiaGlossario">
    <w:name w:val="IWP_21_Bibliografia_Glossario"/>
    <w:basedOn w:val="Normale"/>
    <w:link w:val="IWP21BibliografiaGlossarioCarattereCarattere"/>
    <w:rsid w:val="00902762"/>
    <w:pPr>
      <w:autoSpaceDE w:val="0"/>
      <w:autoSpaceDN w:val="0"/>
      <w:adjustRightInd w:val="0"/>
      <w:spacing w:after="60" w:line="240" w:lineRule="auto"/>
      <w:ind w:left="284" w:hanging="284"/>
      <w:jc w:val="both"/>
    </w:pPr>
    <w:rPr>
      <w:rFonts w:ascii="Times New Roman" w:eastAsia="Times New Roman" w:hAnsi="Times New Roman" w:cs="Times New Roman"/>
      <w:szCs w:val="24"/>
      <w:lang w:eastAsia="it-IT"/>
    </w:rPr>
  </w:style>
  <w:style w:type="character" w:customStyle="1" w:styleId="IWP21BibliografiaGlossarioCarattereCarattere">
    <w:name w:val="IWP_21_Bibliografia_Glossario Carattere Carattere"/>
    <w:link w:val="IWP21BibliografiaGlossario"/>
    <w:rsid w:val="00902762"/>
    <w:rPr>
      <w:rFonts w:ascii="Times New Roman" w:eastAsia="Times New Roman" w:hAnsi="Times New Roman" w:cs="Times New Roman"/>
      <w:szCs w:val="24"/>
      <w:lang w:eastAsia="it-IT"/>
    </w:rPr>
  </w:style>
  <w:style w:type="character" w:customStyle="1" w:styleId="5yl5">
    <w:name w:val="_5yl5"/>
    <w:basedOn w:val="Carpredefinitoparagrafo"/>
    <w:rsid w:val="004F07F6"/>
  </w:style>
  <w:style w:type="character" w:styleId="Collegamentovisitato">
    <w:name w:val="FollowedHyperlink"/>
    <w:basedOn w:val="Carpredefinitoparagrafo"/>
    <w:uiPriority w:val="99"/>
    <w:semiHidden/>
    <w:unhideWhenUsed/>
    <w:rsid w:val="0012756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907952">
      <w:bodyDiv w:val="1"/>
      <w:marLeft w:val="0"/>
      <w:marRight w:val="0"/>
      <w:marTop w:val="0"/>
      <w:marBottom w:val="0"/>
      <w:divBdr>
        <w:top w:val="none" w:sz="0" w:space="0" w:color="auto"/>
        <w:left w:val="none" w:sz="0" w:space="0" w:color="auto"/>
        <w:bottom w:val="none" w:sz="0" w:space="0" w:color="auto"/>
        <w:right w:val="none" w:sz="0" w:space="0" w:color="auto"/>
      </w:divBdr>
      <w:divsChild>
        <w:div w:id="339236607">
          <w:marLeft w:val="0"/>
          <w:marRight w:val="0"/>
          <w:marTop w:val="0"/>
          <w:marBottom w:val="0"/>
          <w:divBdr>
            <w:top w:val="none" w:sz="0" w:space="0" w:color="auto"/>
            <w:left w:val="none" w:sz="0" w:space="0" w:color="auto"/>
            <w:bottom w:val="none" w:sz="0" w:space="0" w:color="auto"/>
            <w:right w:val="none" w:sz="0" w:space="0" w:color="auto"/>
          </w:divBdr>
          <w:divsChild>
            <w:div w:id="90398807">
              <w:marLeft w:val="0"/>
              <w:marRight w:val="0"/>
              <w:marTop w:val="0"/>
              <w:marBottom w:val="0"/>
              <w:divBdr>
                <w:top w:val="none" w:sz="0" w:space="0" w:color="auto"/>
                <w:left w:val="none" w:sz="0" w:space="0" w:color="auto"/>
                <w:bottom w:val="none" w:sz="0" w:space="0" w:color="auto"/>
                <w:right w:val="none" w:sz="0" w:space="0" w:color="auto"/>
              </w:divBdr>
              <w:divsChild>
                <w:div w:id="8997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yperlink" Target="https://www.istat.it/it/benessere-e-sostenibilit&#224;/obiettivi-di-sviluppo-sostenibile"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7.emf"/><Relationship Id="rId1" Type="http://schemas.openxmlformats.org/officeDocument/2006/relationships/image" Target="media/image26.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38BD29-85D5-4C66-B0DD-D9A549920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4135</Words>
  <Characters>23573</Characters>
  <Application>Microsoft Office Word</Application>
  <DocSecurity>0</DocSecurity>
  <Lines>196</Lines>
  <Paragraphs>55</Paragraphs>
  <ScaleCrop>false</ScaleCrop>
  <HeadingPairs>
    <vt:vector size="2" baseType="variant">
      <vt:variant>
        <vt:lpstr>Titolo</vt:lpstr>
      </vt:variant>
      <vt:variant>
        <vt:i4>1</vt:i4>
      </vt:variant>
    </vt:vector>
  </HeadingPairs>
  <TitlesOfParts>
    <vt:vector size="1" baseType="lpstr">
      <vt:lpstr/>
    </vt:vector>
  </TitlesOfParts>
  <Company>ISTAT</Company>
  <LinksUpToDate>false</LinksUpToDate>
  <CharactersWithSpaces>27653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Paola Patteri</dc:creator>
  <cp:lastModifiedBy>UTENTE</cp:lastModifiedBy>
  <cp:revision>2</cp:revision>
  <cp:lastPrinted>2021-08-05T09:39:00Z</cp:lastPrinted>
  <dcterms:created xsi:type="dcterms:W3CDTF">2023-06-20T08:39:00Z</dcterms:created>
  <dcterms:modified xsi:type="dcterms:W3CDTF">2023-06-20T08:39:00Z</dcterms:modified>
</cp:coreProperties>
</file>