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0A68AA" w14:textId="7EAB9D90" w:rsidR="007E6EAA" w:rsidRPr="0058002A" w:rsidRDefault="005D5E20" w:rsidP="007E6EAA">
      <w:pPr>
        <w:autoSpaceDE w:val="0"/>
        <w:autoSpaceDN w:val="0"/>
        <w:adjustRightInd w:val="0"/>
        <w:spacing w:after="120"/>
        <w:ind w:left="-426"/>
        <w:rPr>
          <w:rFonts w:ascii="Arial Narrow" w:hAnsi="Arial Narrow" w:cs="Arial"/>
          <w:bCs/>
          <w:color w:val="000000"/>
          <w:sz w:val="26"/>
          <w:szCs w:val="26"/>
        </w:rPr>
      </w:pPr>
      <w:r>
        <w:rPr>
          <w:rFonts w:ascii="Arial Narrow" w:hAnsi="Arial Narrow" w:cs="Arial"/>
          <w:bCs/>
          <w:color w:val="000000"/>
          <w:sz w:val="26"/>
          <w:szCs w:val="26"/>
        </w:rPr>
        <w:t xml:space="preserve"> </w:t>
      </w:r>
    </w:p>
    <w:p w14:paraId="5F224266" w14:textId="4D22A42A" w:rsidR="00571835" w:rsidRDefault="00BB39B6" w:rsidP="00571835">
      <w:pPr>
        <w:spacing w:after="120"/>
        <w:rPr>
          <w:rFonts w:ascii="Arial Narrow" w:hAnsi="Arial Narrow" w:cs="Arial"/>
          <w:b/>
          <w:bCs/>
          <w:color w:val="E42618"/>
          <w:sz w:val="28"/>
          <w:szCs w:val="28"/>
        </w:rPr>
      </w:pPr>
      <w:r w:rsidRPr="00BB39B6">
        <w:rPr>
          <w:rFonts w:ascii="Arial Narrow" w:hAnsi="Arial Narrow" w:cs="Arial"/>
          <w:b/>
          <w:bCs/>
          <w:color w:val="E42618"/>
          <w:sz w:val="28"/>
          <w:szCs w:val="28"/>
        </w:rPr>
        <w:t xml:space="preserve">ECONOMIA E AMBIENTE: PRINCIPALI INDICATORI </w:t>
      </w:r>
      <w:r w:rsidR="00571835" w:rsidRPr="006D7322">
        <w:rPr>
          <w:rFonts w:ascii="Arial Narrow" w:hAnsi="Arial Narrow" w:cs="Arial"/>
          <w:b/>
          <w:bCs/>
          <w:color w:val="7F7F7F" w:themeColor="text1" w:themeTint="80"/>
          <w:sz w:val="28"/>
          <w:szCs w:val="28"/>
        </w:rPr>
        <w:t>|</w:t>
      </w:r>
      <w:r w:rsidR="00571835">
        <w:rPr>
          <w:rFonts w:ascii="Arial Narrow" w:hAnsi="Arial Narrow" w:cs="Arial"/>
          <w:b/>
          <w:bCs/>
          <w:color w:val="E42618"/>
          <w:sz w:val="28"/>
          <w:szCs w:val="28"/>
        </w:rPr>
        <w:t xml:space="preserve"> </w:t>
      </w:r>
      <w:r>
        <w:rPr>
          <w:rFonts w:ascii="Arial Narrow" w:hAnsi="Arial Narrow" w:cs="Arial"/>
          <w:b/>
          <w:bCs/>
          <w:color w:val="E42618"/>
          <w:sz w:val="28"/>
          <w:szCs w:val="28"/>
        </w:rPr>
        <w:t>ANNI 2018-2020</w:t>
      </w:r>
    </w:p>
    <w:p w14:paraId="405A3B04" w14:textId="77777777" w:rsidR="00571835" w:rsidRPr="0047746A" w:rsidRDefault="00571835" w:rsidP="00571835">
      <w:pPr>
        <w:tabs>
          <w:tab w:val="left" w:pos="851"/>
        </w:tabs>
        <w:autoSpaceDE w:val="0"/>
        <w:autoSpaceDN w:val="0"/>
        <w:adjustRightInd w:val="0"/>
        <w:jc w:val="both"/>
        <w:rPr>
          <w:rFonts w:ascii="Arial Narrow" w:hAnsi="Arial Narrow" w:cs="Arial"/>
          <w:bCs/>
          <w:color w:val="1F497D" w:themeColor="text2"/>
          <w:sz w:val="18"/>
          <w:szCs w:val="52"/>
        </w:rPr>
      </w:pPr>
    </w:p>
    <w:p w14:paraId="09D6EF64" w14:textId="77777777" w:rsidR="00034BE7" w:rsidRDefault="00BB39B6" w:rsidP="00571835">
      <w:pPr>
        <w:tabs>
          <w:tab w:val="left" w:pos="851"/>
        </w:tabs>
        <w:autoSpaceDE w:val="0"/>
        <w:autoSpaceDN w:val="0"/>
        <w:adjustRightInd w:val="0"/>
        <w:jc w:val="both"/>
        <w:rPr>
          <w:rFonts w:ascii="Georgia" w:hAnsi="Georgia" w:cs="Arial"/>
          <w:bCs/>
          <w:color w:val="1F497D" w:themeColor="text2"/>
          <w:sz w:val="48"/>
          <w:szCs w:val="48"/>
        </w:rPr>
      </w:pPr>
      <w:r w:rsidRPr="008F73EB">
        <w:rPr>
          <w:rFonts w:ascii="Georgia" w:hAnsi="Georgia" w:cs="Arial"/>
          <w:bCs/>
          <w:color w:val="1F497D" w:themeColor="text2"/>
          <w:sz w:val="48"/>
          <w:szCs w:val="48"/>
        </w:rPr>
        <w:t xml:space="preserve">La crisi riduce la pressione </w:t>
      </w:r>
      <w:r w:rsidR="00034BE7">
        <w:rPr>
          <w:rFonts w:ascii="Georgia" w:hAnsi="Georgia" w:cs="Arial"/>
          <w:bCs/>
          <w:color w:val="1F497D" w:themeColor="text2"/>
          <w:sz w:val="48"/>
          <w:szCs w:val="48"/>
        </w:rPr>
        <w:t>sull’</w:t>
      </w:r>
      <w:r w:rsidRPr="008F73EB">
        <w:rPr>
          <w:rFonts w:ascii="Georgia" w:hAnsi="Georgia" w:cs="Arial"/>
          <w:bCs/>
          <w:color w:val="1F497D" w:themeColor="text2"/>
          <w:sz w:val="48"/>
          <w:szCs w:val="48"/>
        </w:rPr>
        <w:t>ambien</w:t>
      </w:r>
      <w:r w:rsidR="00034BE7">
        <w:rPr>
          <w:rFonts w:ascii="Georgia" w:hAnsi="Georgia" w:cs="Arial"/>
          <w:bCs/>
          <w:color w:val="1F497D" w:themeColor="text2"/>
          <w:sz w:val="48"/>
          <w:szCs w:val="48"/>
        </w:rPr>
        <w:t>t</w:t>
      </w:r>
      <w:r w:rsidRPr="008F73EB">
        <w:rPr>
          <w:rFonts w:ascii="Georgia" w:hAnsi="Georgia" w:cs="Arial"/>
          <w:bCs/>
          <w:color w:val="1F497D" w:themeColor="text2"/>
          <w:sz w:val="48"/>
          <w:szCs w:val="48"/>
        </w:rPr>
        <w:t xml:space="preserve">e, </w:t>
      </w:r>
    </w:p>
    <w:p w14:paraId="6096DADF" w14:textId="33C0E326" w:rsidR="00571835" w:rsidRPr="008F73EB" w:rsidRDefault="00BB39B6" w:rsidP="00034BE7">
      <w:pPr>
        <w:tabs>
          <w:tab w:val="left" w:pos="851"/>
        </w:tabs>
        <w:autoSpaceDE w:val="0"/>
        <w:autoSpaceDN w:val="0"/>
        <w:adjustRightInd w:val="0"/>
        <w:jc w:val="both"/>
        <w:rPr>
          <w:rFonts w:ascii="Georgia" w:hAnsi="Georgia" w:cs="Arial"/>
          <w:bCs/>
          <w:color w:val="1F497D" w:themeColor="text2"/>
          <w:sz w:val="48"/>
          <w:szCs w:val="48"/>
        </w:rPr>
      </w:pPr>
      <w:r w:rsidRPr="008F73EB">
        <w:rPr>
          <w:rFonts w:ascii="Georgia" w:hAnsi="Georgia" w:cs="Arial"/>
          <w:bCs/>
          <w:color w:val="1F497D" w:themeColor="text2"/>
          <w:sz w:val="48"/>
          <w:szCs w:val="48"/>
        </w:rPr>
        <w:t xml:space="preserve">stabile la spesa </w:t>
      </w:r>
      <w:r w:rsidR="00034BE7">
        <w:rPr>
          <w:rFonts w:ascii="Georgia" w:hAnsi="Georgia" w:cs="Arial"/>
          <w:bCs/>
          <w:color w:val="1F497D" w:themeColor="text2"/>
          <w:sz w:val="48"/>
          <w:szCs w:val="48"/>
        </w:rPr>
        <w:t>per la sua protezione</w:t>
      </w:r>
    </w:p>
    <w:p w14:paraId="3917A596" w14:textId="77777777" w:rsidR="00571835" w:rsidRPr="009F47DC" w:rsidRDefault="00571835" w:rsidP="00571835">
      <w:pPr>
        <w:spacing w:after="120"/>
        <w:rPr>
          <w:rFonts w:ascii="Georgia" w:hAnsi="Georgia" w:cs="Arial"/>
          <w:sz w:val="26"/>
          <w:szCs w:val="26"/>
        </w:rPr>
      </w:pPr>
      <w:r w:rsidRPr="009F47DC">
        <w:rPr>
          <w:rFonts w:ascii="Georgia" w:hAnsi="Georgia" w:cs="Arial"/>
          <w:noProof/>
          <w:sz w:val="26"/>
          <w:szCs w:val="26"/>
        </w:rPr>
        <mc:AlternateContent>
          <mc:Choice Requires="wps">
            <w:drawing>
              <wp:anchor distT="0" distB="0" distL="114300" distR="114300" simplePos="0" relativeHeight="251659264" behindDoc="0" locked="0" layoutInCell="1" allowOverlap="1" wp14:anchorId="6E5CC247" wp14:editId="77960351">
                <wp:simplePos x="0" y="0"/>
                <wp:positionH relativeFrom="column">
                  <wp:posOffset>-528955</wp:posOffset>
                </wp:positionH>
                <wp:positionV relativeFrom="paragraph">
                  <wp:posOffset>176327</wp:posOffset>
                </wp:positionV>
                <wp:extent cx="438150" cy="381000"/>
                <wp:effectExtent l="12700" t="38100" r="31750" b="38100"/>
                <wp:wrapNone/>
                <wp:docPr id="21" name="Freccia a destra 21"/>
                <wp:cNvGraphicFramePr/>
                <a:graphic xmlns:a="http://schemas.openxmlformats.org/drawingml/2006/main">
                  <a:graphicData uri="http://schemas.microsoft.com/office/word/2010/wordprocessingShape">
                    <wps:wsp>
                      <wps:cNvSpPr/>
                      <wps:spPr>
                        <a:xfrm>
                          <a:off x="0" y="0"/>
                          <a:ext cx="438150" cy="381000"/>
                        </a:xfrm>
                        <a:prstGeom prst="rightArrow">
                          <a:avLst/>
                        </a:prstGeom>
                        <a:solidFill>
                          <a:srgbClr val="E42618"/>
                        </a:solidFill>
                        <a:ln>
                          <a:solidFill>
                            <a:srgbClr val="E4261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BC8630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21" o:spid="_x0000_s1026" type="#_x0000_t13" style="position:absolute;margin-left:-41.65pt;margin-top:13.9pt;width:34.5pt;height:30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" adj="12209" fillcolor="#e42618" strokecolor="#e42618" strokeweight="2pt"/>
            </w:pict>
          </mc:Fallback>
        </mc:AlternateContent>
      </w:r>
    </w:p>
    <w:p w14:paraId="69125BC0" w14:textId="1C4A5ADC" w:rsidR="00C27B86" w:rsidRDefault="00BB39B6" w:rsidP="00571835">
      <w:pPr>
        <w:pStyle w:val="Default"/>
        <w:tabs>
          <w:tab w:val="left" w:pos="567"/>
        </w:tabs>
        <w:spacing w:after="120" w:line="360" w:lineRule="exact"/>
        <w:ind w:left="142"/>
        <w:jc w:val="both"/>
        <w:rPr>
          <w:rFonts w:ascii="Georgia" w:hAnsi="Georgia" w:cs="Arial"/>
          <w:bCs/>
          <w:color w:val="1F497D" w:themeColor="text2"/>
          <w:sz w:val="28"/>
          <w:szCs w:val="28"/>
        </w:rPr>
      </w:pPr>
      <w:r w:rsidRPr="00D51BFB">
        <w:rPr>
          <w:rFonts w:ascii="Georgia" w:hAnsi="Georgia" w:cs="Arial"/>
          <w:bCs/>
          <w:color w:val="1F497D" w:themeColor="text2"/>
          <w:sz w:val="28"/>
          <w:szCs w:val="28"/>
        </w:rPr>
        <w:t xml:space="preserve">Nel </w:t>
      </w:r>
      <w:r>
        <w:rPr>
          <w:rFonts w:ascii="Georgia" w:hAnsi="Georgia" w:cs="Arial"/>
          <w:bCs/>
          <w:color w:val="1F497D" w:themeColor="text2"/>
          <w:sz w:val="28"/>
          <w:szCs w:val="28"/>
        </w:rPr>
        <w:t xml:space="preserve">2020 i principali indicatori di pressione dei conti ambientali si riducono </w:t>
      </w:r>
      <w:r w:rsidR="002310D6">
        <w:rPr>
          <w:rFonts w:ascii="Georgia" w:hAnsi="Georgia" w:cs="Arial"/>
          <w:bCs/>
          <w:color w:val="1F497D" w:themeColor="text2"/>
          <w:sz w:val="28"/>
          <w:szCs w:val="28"/>
        </w:rPr>
        <w:t xml:space="preserve">dall’anno precedente </w:t>
      </w:r>
      <w:r>
        <w:rPr>
          <w:rFonts w:ascii="Georgia" w:hAnsi="Georgia" w:cs="Arial"/>
          <w:bCs/>
          <w:color w:val="1F497D" w:themeColor="text2"/>
          <w:sz w:val="28"/>
          <w:szCs w:val="28"/>
        </w:rPr>
        <w:t xml:space="preserve">in misura </w:t>
      </w:r>
      <w:r w:rsidR="009B6557">
        <w:rPr>
          <w:rFonts w:ascii="Georgia" w:hAnsi="Georgia" w:cs="Arial"/>
          <w:bCs/>
          <w:color w:val="1F497D" w:themeColor="text2"/>
          <w:sz w:val="28"/>
          <w:szCs w:val="28"/>
        </w:rPr>
        <w:t xml:space="preserve">analoga </w:t>
      </w:r>
      <w:r>
        <w:rPr>
          <w:rFonts w:ascii="Georgia" w:hAnsi="Georgia" w:cs="Arial"/>
          <w:bCs/>
          <w:color w:val="1F497D" w:themeColor="text2"/>
          <w:sz w:val="28"/>
          <w:szCs w:val="28"/>
        </w:rPr>
        <w:t>alla caduta del Pil (-9% in volume)</w:t>
      </w:r>
      <w:r w:rsidR="00C27B86">
        <w:rPr>
          <w:rFonts w:ascii="Georgia" w:hAnsi="Georgia" w:cs="Arial"/>
          <w:bCs/>
          <w:color w:val="1F497D" w:themeColor="text2"/>
          <w:sz w:val="28"/>
          <w:szCs w:val="28"/>
        </w:rPr>
        <w:t>.</w:t>
      </w:r>
      <w:r>
        <w:rPr>
          <w:rFonts w:ascii="Georgia" w:hAnsi="Georgia" w:cs="Arial"/>
          <w:bCs/>
          <w:color w:val="1F497D" w:themeColor="text2"/>
          <w:sz w:val="28"/>
          <w:szCs w:val="28"/>
        </w:rPr>
        <w:t xml:space="preserve"> </w:t>
      </w:r>
    </w:p>
    <w:p w14:paraId="071B17DB" w14:textId="09643A0D" w:rsidR="009B6557" w:rsidRDefault="009B6557" w:rsidP="00571835">
      <w:pPr>
        <w:pStyle w:val="Default"/>
        <w:tabs>
          <w:tab w:val="left" w:pos="567"/>
        </w:tabs>
        <w:spacing w:after="120" w:line="360" w:lineRule="exact"/>
        <w:ind w:left="142"/>
        <w:jc w:val="both"/>
        <w:rPr>
          <w:rFonts w:ascii="Georgia" w:hAnsi="Georgia" w:cs="Arial"/>
          <w:bCs/>
          <w:color w:val="1F497D" w:themeColor="text2"/>
          <w:sz w:val="28"/>
          <w:szCs w:val="28"/>
        </w:rPr>
      </w:pPr>
      <w:r>
        <w:rPr>
          <w:rFonts w:ascii="Georgia" w:hAnsi="Georgia" w:cs="Arial"/>
          <w:color w:val="1F497D" w:themeColor="text2"/>
          <w:sz w:val="28"/>
          <w:szCs w:val="28"/>
        </w:rPr>
        <w:t>I</w:t>
      </w:r>
      <w:r w:rsidR="00BB39B6">
        <w:rPr>
          <w:rFonts w:ascii="Georgia" w:hAnsi="Georgia" w:cs="Arial"/>
          <w:color w:val="1F497D" w:themeColor="text2"/>
          <w:sz w:val="28"/>
          <w:szCs w:val="28"/>
        </w:rPr>
        <w:t xml:space="preserve">l </w:t>
      </w:r>
      <w:r w:rsidR="00D17CC8">
        <w:rPr>
          <w:rFonts w:ascii="Georgia" w:hAnsi="Georgia" w:cs="Arial"/>
          <w:b/>
          <w:bCs/>
          <w:color w:val="1F497D" w:themeColor="text2"/>
          <w:sz w:val="28"/>
          <w:szCs w:val="28"/>
        </w:rPr>
        <w:t>C</w:t>
      </w:r>
      <w:r w:rsidR="00BB39B6" w:rsidRPr="00955894">
        <w:rPr>
          <w:rFonts w:ascii="Georgia" w:hAnsi="Georgia" w:cs="Arial"/>
          <w:b/>
          <w:bCs/>
          <w:color w:val="1F497D" w:themeColor="text2"/>
          <w:sz w:val="28"/>
          <w:szCs w:val="28"/>
        </w:rPr>
        <w:t xml:space="preserve">onsumo </w:t>
      </w:r>
      <w:r w:rsidR="00BB39B6">
        <w:rPr>
          <w:rFonts w:ascii="Georgia" w:hAnsi="Georgia" w:cs="Arial"/>
          <w:b/>
          <w:bCs/>
          <w:color w:val="1F497D" w:themeColor="text2"/>
          <w:sz w:val="28"/>
          <w:szCs w:val="28"/>
        </w:rPr>
        <w:t xml:space="preserve">netto </w:t>
      </w:r>
      <w:r w:rsidR="005C155A">
        <w:rPr>
          <w:rFonts w:ascii="Georgia" w:hAnsi="Georgia" w:cs="Arial"/>
          <w:b/>
          <w:bCs/>
          <w:color w:val="1F497D" w:themeColor="text2"/>
          <w:sz w:val="28"/>
          <w:szCs w:val="28"/>
        </w:rPr>
        <w:t>di e</w:t>
      </w:r>
      <w:r w:rsidR="00BB39B6" w:rsidRPr="00955894">
        <w:rPr>
          <w:rFonts w:ascii="Georgia" w:hAnsi="Georgia" w:cs="Arial"/>
          <w:b/>
          <w:bCs/>
          <w:color w:val="1F497D" w:themeColor="text2"/>
          <w:sz w:val="28"/>
          <w:szCs w:val="28"/>
        </w:rPr>
        <w:t>nergia</w:t>
      </w:r>
      <w:r w:rsidR="00BB39B6">
        <w:rPr>
          <w:rFonts w:ascii="Georgia" w:hAnsi="Georgia" w:cs="Arial"/>
          <w:color w:val="1F497D" w:themeColor="text2"/>
          <w:sz w:val="28"/>
          <w:szCs w:val="28"/>
        </w:rPr>
        <w:t xml:space="preserve"> </w:t>
      </w:r>
      <w:r w:rsidR="00BB39B6">
        <w:rPr>
          <w:rFonts w:ascii="Georgia" w:hAnsi="Georgia" w:cs="Arial"/>
          <w:bCs/>
          <w:color w:val="1F497D" w:themeColor="text2"/>
          <w:sz w:val="28"/>
          <w:szCs w:val="28"/>
        </w:rPr>
        <w:t xml:space="preserve">si attesta </w:t>
      </w:r>
      <w:r w:rsidR="00BB39B6">
        <w:rPr>
          <w:rFonts w:ascii="Georgia" w:hAnsi="Georgia" w:cs="Arial"/>
          <w:color w:val="1F497D" w:themeColor="text2"/>
          <w:sz w:val="28"/>
          <w:szCs w:val="28"/>
        </w:rPr>
        <w:t xml:space="preserve">a </w:t>
      </w:r>
      <w:r w:rsidR="00BB39B6" w:rsidRPr="004B15EF">
        <w:rPr>
          <w:rFonts w:ascii="Georgia" w:hAnsi="Georgia" w:cs="Arial"/>
          <w:bCs/>
          <w:color w:val="1F497D" w:themeColor="text2"/>
          <w:sz w:val="28"/>
          <w:szCs w:val="28"/>
        </w:rPr>
        <w:t>6,5 milioni di terajoule</w:t>
      </w:r>
      <w:r w:rsidR="00BB39B6" w:rsidRPr="00304A8D">
        <w:rPr>
          <w:rFonts w:ascii="Georgia" w:hAnsi="Georgia" w:cs="Arial"/>
          <w:bCs/>
          <w:color w:val="1F497D" w:themeColor="text2"/>
          <w:sz w:val="28"/>
          <w:szCs w:val="28"/>
        </w:rPr>
        <w:t xml:space="preserve"> </w:t>
      </w:r>
      <w:r w:rsidR="00BB39B6">
        <w:rPr>
          <w:rFonts w:ascii="Georgia" w:hAnsi="Georgia" w:cs="Arial"/>
          <w:bCs/>
          <w:color w:val="1F497D" w:themeColor="text2"/>
          <w:sz w:val="28"/>
          <w:szCs w:val="28"/>
        </w:rPr>
        <w:t>(</w:t>
      </w:r>
      <w:r w:rsidR="007A682F">
        <w:rPr>
          <w:rFonts w:ascii="Georgia" w:hAnsi="Georgia" w:cs="Arial"/>
          <w:bCs/>
          <w:color w:val="1F497D" w:themeColor="text2"/>
          <w:sz w:val="28"/>
          <w:szCs w:val="28"/>
        </w:rPr>
        <w:t>-</w:t>
      </w:r>
      <w:r w:rsidR="00BB39B6">
        <w:rPr>
          <w:rFonts w:ascii="Georgia" w:hAnsi="Georgia" w:cs="Arial"/>
          <w:bCs/>
          <w:color w:val="1F497D" w:themeColor="text2"/>
          <w:sz w:val="28"/>
          <w:szCs w:val="28"/>
        </w:rPr>
        <w:t>8,8%)</w:t>
      </w:r>
      <w:r w:rsidR="00BB39B6">
        <w:rPr>
          <w:rFonts w:ascii="Georgia" w:hAnsi="Georgia" w:cs="Arial"/>
          <w:color w:val="1F497D" w:themeColor="text2"/>
          <w:sz w:val="28"/>
          <w:szCs w:val="28"/>
        </w:rPr>
        <w:t xml:space="preserve">, le </w:t>
      </w:r>
      <w:r w:rsidR="00EB1AF7" w:rsidRPr="001C6B5E">
        <w:rPr>
          <w:rFonts w:ascii="Georgia" w:hAnsi="Georgia" w:cs="Arial"/>
          <w:b/>
          <w:bCs/>
          <w:color w:val="1F497D" w:themeColor="text2"/>
          <w:sz w:val="28"/>
          <w:szCs w:val="28"/>
        </w:rPr>
        <w:t>emissioni climalteranti</w:t>
      </w:r>
      <w:r w:rsidR="00EB1AF7">
        <w:rPr>
          <w:rFonts w:ascii="Georgia" w:hAnsi="Georgia" w:cs="Arial"/>
          <w:color w:val="1F497D" w:themeColor="text2"/>
          <w:sz w:val="28"/>
          <w:szCs w:val="28"/>
        </w:rPr>
        <w:t xml:space="preserve"> </w:t>
      </w:r>
      <w:r w:rsidR="00BB39B6" w:rsidRPr="00B235CC">
        <w:rPr>
          <w:rFonts w:ascii="Georgia" w:hAnsi="Georgia" w:cs="Arial"/>
          <w:color w:val="1F497D" w:themeColor="text2"/>
          <w:sz w:val="28"/>
          <w:szCs w:val="28"/>
        </w:rPr>
        <w:t xml:space="preserve">a </w:t>
      </w:r>
      <w:r w:rsidR="00BB39B6">
        <w:rPr>
          <w:rFonts w:ascii="Georgia" w:hAnsi="Georgia" w:cs="Arial"/>
          <w:color w:val="1F497D" w:themeColor="text2"/>
          <w:sz w:val="28"/>
          <w:szCs w:val="28"/>
        </w:rPr>
        <w:t>392</w:t>
      </w:r>
      <w:r w:rsidR="00BB39B6" w:rsidRPr="00B235CC">
        <w:rPr>
          <w:rFonts w:ascii="Georgia" w:hAnsi="Georgia" w:cs="Arial"/>
          <w:color w:val="1F497D" w:themeColor="text2"/>
          <w:sz w:val="28"/>
          <w:szCs w:val="28"/>
        </w:rPr>
        <w:t xml:space="preserve"> milioni di tonnellate </w:t>
      </w:r>
      <w:r w:rsidR="00BB39B6">
        <w:rPr>
          <w:rFonts w:ascii="Georgia" w:hAnsi="Georgia" w:cs="Arial"/>
          <w:color w:val="1F497D" w:themeColor="text2"/>
          <w:sz w:val="28"/>
          <w:szCs w:val="28"/>
        </w:rPr>
        <w:t xml:space="preserve">(Mt) </w:t>
      </w:r>
      <w:r w:rsidR="00BB39B6" w:rsidRPr="00B235CC">
        <w:rPr>
          <w:rFonts w:ascii="Georgia" w:hAnsi="Georgia" w:cs="Arial"/>
          <w:color w:val="1F497D" w:themeColor="text2"/>
          <w:sz w:val="28"/>
          <w:szCs w:val="28"/>
        </w:rPr>
        <w:t>di CO2 equivalente</w:t>
      </w:r>
      <w:r w:rsidR="00BB39B6" w:rsidRPr="00B235CC" w:rsidDel="00B235CC">
        <w:rPr>
          <w:rFonts w:ascii="Georgia" w:hAnsi="Georgia" w:cs="Arial"/>
          <w:color w:val="1F497D" w:themeColor="text2"/>
          <w:sz w:val="28"/>
          <w:szCs w:val="28"/>
        </w:rPr>
        <w:t xml:space="preserve"> </w:t>
      </w:r>
      <w:r w:rsidR="007A682F">
        <w:rPr>
          <w:rFonts w:ascii="Georgia" w:hAnsi="Georgia" w:cs="Arial"/>
          <w:color w:val="1F497D" w:themeColor="text2"/>
          <w:sz w:val="28"/>
          <w:szCs w:val="28"/>
        </w:rPr>
        <w:br/>
      </w:r>
      <w:r w:rsidR="00BB39B6" w:rsidRPr="00E54029">
        <w:rPr>
          <w:rFonts w:ascii="Georgia" w:hAnsi="Georgia" w:cs="Arial"/>
          <w:bCs/>
          <w:color w:val="1F497D" w:themeColor="text2"/>
          <w:sz w:val="28"/>
          <w:szCs w:val="28"/>
        </w:rPr>
        <w:t>(</w:t>
      </w:r>
      <w:r w:rsidR="007A682F">
        <w:rPr>
          <w:rFonts w:ascii="Georgia" w:hAnsi="Georgia" w:cs="Arial"/>
          <w:bCs/>
          <w:color w:val="1F497D" w:themeColor="text2"/>
          <w:sz w:val="28"/>
          <w:szCs w:val="28"/>
        </w:rPr>
        <w:t>-</w:t>
      </w:r>
      <w:r w:rsidR="00BB39B6" w:rsidRPr="00C97500">
        <w:rPr>
          <w:rFonts w:ascii="Georgia" w:hAnsi="Georgia" w:cs="Arial"/>
          <w:bCs/>
          <w:color w:val="1F497D" w:themeColor="text2"/>
          <w:sz w:val="28"/>
          <w:szCs w:val="28"/>
        </w:rPr>
        <w:t>10,2%)</w:t>
      </w:r>
      <w:r w:rsidR="00BB39B6">
        <w:rPr>
          <w:rFonts w:ascii="Georgia" w:hAnsi="Georgia" w:cs="Arial"/>
          <w:bCs/>
          <w:color w:val="1F497D" w:themeColor="text2"/>
          <w:sz w:val="28"/>
          <w:szCs w:val="28"/>
        </w:rPr>
        <w:t xml:space="preserve">; il </w:t>
      </w:r>
      <w:r w:rsidR="003E1676" w:rsidRPr="00955894">
        <w:rPr>
          <w:rFonts w:ascii="Georgia" w:hAnsi="Georgia" w:cs="Arial"/>
          <w:b/>
          <w:color w:val="1F497D" w:themeColor="text2"/>
          <w:sz w:val="28"/>
          <w:szCs w:val="28"/>
        </w:rPr>
        <w:t xml:space="preserve">Consumo </w:t>
      </w:r>
      <w:r w:rsidR="005C155A" w:rsidRPr="00955894">
        <w:rPr>
          <w:rFonts w:ascii="Georgia" w:hAnsi="Georgia" w:cs="Arial"/>
          <w:b/>
          <w:color w:val="1F497D" w:themeColor="text2"/>
          <w:sz w:val="28"/>
          <w:szCs w:val="28"/>
        </w:rPr>
        <w:t>materia</w:t>
      </w:r>
      <w:r w:rsidR="005C155A">
        <w:rPr>
          <w:rFonts w:ascii="Georgia" w:hAnsi="Georgia" w:cs="Arial"/>
          <w:b/>
          <w:color w:val="1F497D" w:themeColor="text2"/>
          <w:sz w:val="28"/>
          <w:szCs w:val="28"/>
        </w:rPr>
        <w:t xml:space="preserve">le interno </w:t>
      </w:r>
      <w:r w:rsidR="00BB39B6">
        <w:rPr>
          <w:rFonts w:ascii="Georgia" w:hAnsi="Georgia" w:cs="Arial"/>
          <w:bCs/>
          <w:color w:val="1F497D" w:themeColor="text2"/>
          <w:sz w:val="28"/>
          <w:szCs w:val="28"/>
        </w:rPr>
        <w:t xml:space="preserve">a </w:t>
      </w:r>
      <w:r w:rsidR="00AF4DF2" w:rsidRPr="00945175">
        <w:rPr>
          <w:rFonts w:ascii="Georgia" w:hAnsi="Georgia" w:cs="Arial"/>
          <w:bCs/>
          <w:color w:val="1F497D" w:themeColor="text2"/>
          <w:sz w:val="28"/>
          <w:szCs w:val="28"/>
        </w:rPr>
        <w:t>4</w:t>
      </w:r>
      <w:r w:rsidR="00AF4DF2">
        <w:rPr>
          <w:rFonts w:ascii="Georgia" w:hAnsi="Georgia" w:cs="Arial"/>
          <w:bCs/>
          <w:color w:val="1F497D" w:themeColor="text2"/>
          <w:sz w:val="28"/>
          <w:szCs w:val="28"/>
        </w:rPr>
        <w:t>59</w:t>
      </w:r>
      <w:r w:rsidR="00AF4DF2" w:rsidRPr="00945175">
        <w:rPr>
          <w:rFonts w:ascii="Georgia" w:hAnsi="Georgia" w:cs="Arial"/>
          <w:bCs/>
          <w:color w:val="1F497D" w:themeColor="text2"/>
          <w:sz w:val="28"/>
          <w:szCs w:val="28"/>
        </w:rPr>
        <w:t xml:space="preserve"> </w:t>
      </w:r>
      <w:r w:rsidR="00BB39B6">
        <w:rPr>
          <w:rFonts w:ascii="Georgia" w:hAnsi="Georgia" w:cs="Arial"/>
          <w:bCs/>
          <w:color w:val="1F497D" w:themeColor="text2"/>
          <w:sz w:val="28"/>
          <w:szCs w:val="28"/>
        </w:rPr>
        <w:t xml:space="preserve">Mt </w:t>
      </w:r>
      <w:r w:rsidR="00BB39B6" w:rsidRPr="00244256">
        <w:rPr>
          <w:rFonts w:ascii="Georgia" w:hAnsi="Georgia" w:cs="Arial"/>
          <w:bCs/>
          <w:color w:val="1F497D" w:themeColor="text2"/>
          <w:sz w:val="28"/>
          <w:szCs w:val="28"/>
        </w:rPr>
        <w:t>(</w:t>
      </w:r>
      <w:r w:rsidR="00BB39B6">
        <w:rPr>
          <w:rFonts w:ascii="Georgia" w:hAnsi="Georgia" w:cs="Arial"/>
          <w:bCs/>
          <w:color w:val="1F497D" w:themeColor="text2"/>
          <w:sz w:val="28"/>
          <w:szCs w:val="28"/>
        </w:rPr>
        <w:t>-7,7%</w:t>
      </w:r>
      <w:r w:rsidR="00BB39B6" w:rsidRPr="00244256">
        <w:rPr>
          <w:rFonts w:ascii="Georgia" w:hAnsi="Georgia" w:cs="Arial"/>
          <w:bCs/>
          <w:color w:val="1F497D" w:themeColor="text2"/>
          <w:sz w:val="28"/>
          <w:szCs w:val="28"/>
        </w:rPr>
        <w:t>)</w:t>
      </w:r>
      <w:r w:rsidR="00BB39B6" w:rsidRPr="00D51BFB">
        <w:rPr>
          <w:rFonts w:ascii="Georgia" w:hAnsi="Georgia" w:cs="Arial"/>
          <w:bCs/>
          <w:color w:val="1F497D" w:themeColor="text2"/>
          <w:sz w:val="28"/>
          <w:szCs w:val="28"/>
        </w:rPr>
        <w:t xml:space="preserve">. </w:t>
      </w:r>
    </w:p>
    <w:p w14:paraId="48103F33" w14:textId="752B9077" w:rsidR="009B6557" w:rsidRDefault="00BB39B6" w:rsidP="00571835">
      <w:pPr>
        <w:pStyle w:val="Default"/>
        <w:tabs>
          <w:tab w:val="left" w:pos="567"/>
        </w:tabs>
        <w:spacing w:after="120" w:line="360" w:lineRule="exact"/>
        <w:ind w:left="142"/>
        <w:jc w:val="both"/>
        <w:rPr>
          <w:rFonts w:ascii="Georgia" w:hAnsi="Georgia" w:cs="Arial"/>
          <w:bCs/>
          <w:color w:val="1F497D" w:themeColor="text2"/>
          <w:sz w:val="28"/>
          <w:szCs w:val="28"/>
        </w:rPr>
      </w:pPr>
      <w:r>
        <w:rPr>
          <w:rFonts w:ascii="Georgia" w:hAnsi="Georgia" w:cs="Arial"/>
          <w:bCs/>
          <w:color w:val="1F497D" w:themeColor="text2"/>
          <w:sz w:val="28"/>
          <w:szCs w:val="28"/>
        </w:rPr>
        <w:t xml:space="preserve">Più marcata la riduzione del </w:t>
      </w:r>
      <w:r w:rsidRPr="00EE0283">
        <w:rPr>
          <w:rFonts w:ascii="Georgia" w:hAnsi="Georgia" w:cs="Arial"/>
          <w:bCs/>
          <w:color w:val="1F497D" w:themeColor="text2"/>
          <w:sz w:val="28"/>
          <w:szCs w:val="28"/>
        </w:rPr>
        <w:t>gettito delle</w:t>
      </w:r>
      <w:r w:rsidRPr="00E54029">
        <w:rPr>
          <w:rFonts w:ascii="Georgia" w:hAnsi="Georgia" w:cs="Arial"/>
          <w:b/>
          <w:bCs/>
          <w:color w:val="1F497D" w:themeColor="text2"/>
          <w:sz w:val="28"/>
          <w:szCs w:val="28"/>
        </w:rPr>
        <w:t xml:space="preserve"> imposte </w:t>
      </w:r>
      <w:r w:rsidRPr="009E42E4">
        <w:rPr>
          <w:rFonts w:ascii="Georgia" w:hAnsi="Georgia" w:cs="Arial"/>
          <w:b/>
          <w:color w:val="1F497D" w:themeColor="text2"/>
          <w:sz w:val="28"/>
          <w:szCs w:val="28"/>
        </w:rPr>
        <w:t>ambientali</w:t>
      </w:r>
      <w:r>
        <w:rPr>
          <w:rFonts w:ascii="Georgia" w:hAnsi="Georgia" w:cs="Arial"/>
          <w:bCs/>
          <w:color w:val="1F497D" w:themeColor="text2"/>
          <w:sz w:val="28"/>
          <w:szCs w:val="28"/>
        </w:rPr>
        <w:t xml:space="preserve"> che scendono a 50,4 miliardi di euro (</w:t>
      </w:r>
      <w:r w:rsidR="007A682F">
        <w:rPr>
          <w:rFonts w:ascii="Georgia" w:hAnsi="Georgia" w:cs="Arial"/>
          <w:bCs/>
          <w:color w:val="1F497D" w:themeColor="text2"/>
          <w:sz w:val="28"/>
          <w:szCs w:val="28"/>
        </w:rPr>
        <w:t>-</w:t>
      </w:r>
      <w:r>
        <w:rPr>
          <w:rFonts w:ascii="Georgia" w:hAnsi="Georgia" w:cs="Arial"/>
          <w:bCs/>
          <w:color w:val="1F497D" w:themeColor="text2"/>
          <w:sz w:val="28"/>
          <w:szCs w:val="28"/>
        </w:rPr>
        <w:t xml:space="preserve">13,5%). </w:t>
      </w:r>
    </w:p>
    <w:p w14:paraId="71A8A8B3" w14:textId="1A04B179" w:rsidR="00571835" w:rsidRDefault="00AC5E34" w:rsidP="00571835">
      <w:pPr>
        <w:pStyle w:val="Default"/>
        <w:tabs>
          <w:tab w:val="left" w:pos="567"/>
        </w:tabs>
        <w:spacing w:after="120" w:line="360" w:lineRule="exact"/>
        <w:ind w:left="142"/>
        <w:jc w:val="both"/>
        <w:rPr>
          <w:rFonts w:ascii="Georgia" w:hAnsi="Georgia" w:cs="Arial"/>
          <w:bCs/>
          <w:color w:val="1F497D" w:themeColor="text2"/>
          <w:sz w:val="28"/>
          <w:szCs w:val="28"/>
        </w:rPr>
      </w:pPr>
      <w:r>
        <w:rPr>
          <w:rFonts w:ascii="Georgia" w:hAnsi="Georgia" w:cs="Arial"/>
          <w:bCs/>
          <w:color w:val="1F497D" w:themeColor="text2"/>
          <w:sz w:val="28"/>
          <w:szCs w:val="28"/>
        </w:rPr>
        <w:t>Nello stesso anno diminuisce</w:t>
      </w:r>
      <w:r w:rsidR="00E90F28" w:rsidRPr="00C0321D">
        <w:rPr>
          <w:rFonts w:ascii="Georgia" w:hAnsi="Georgia" w:cs="Arial"/>
          <w:bCs/>
          <w:color w:val="1F497D" w:themeColor="text2"/>
          <w:sz w:val="28"/>
          <w:szCs w:val="28"/>
        </w:rPr>
        <w:t xml:space="preserve"> il valore dei </w:t>
      </w:r>
      <w:r w:rsidR="00E90F28" w:rsidRPr="00C0321D">
        <w:rPr>
          <w:rFonts w:ascii="Georgia" w:hAnsi="Georgia" w:cs="Arial"/>
          <w:b/>
          <w:color w:val="1F497D" w:themeColor="text2"/>
          <w:sz w:val="28"/>
          <w:szCs w:val="28"/>
        </w:rPr>
        <w:t xml:space="preserve">beni e servizi </w:t>
      </w:r>
      <w:r w:rsidR="00E90F28" w:rsidRPr="00C0321D">
        <w:rPr>
          <w:rFonts w:ascii="Georgia" w:hAnsi="Georgia" w:cs="Arial"/>
          <w:bCs/>
          <w:color w:val="1F497D" w:themeColor="text2"/>
          <w:sz w:val="28"/>
          <w:szCs w:val="28"/>
        </w:rPr>
        <w:t>che l’economia produce per la tutela ambientale, che</w:t>
      </w:r>
      <w:r w:rsidR="00E90F28">
        <w:rPr>
          <w:rFonts w:ascii="Georgia" w:hAnsi="Georgia" w:cs="Arial"/>
          <w:bCs/>
          <w:color w:val="1F497D" w:themeColor="text2"/>
          <w:sz w:val="28"/>
          <w:szCs w:val="28"/>
        </w:rPr>
        <w:t xml:space="preserve"> </w:t>
      </w:r>
      <w:r w:rsidR="00BC2771" w:rsidRPr="008F73EB">
        <w:rPr>
          <w:rFonts w:ascii="Georgia" w:hAnsi="Georgia" w:cs="Arial"/>
          <w:bCs/>
          <w:color w:val="1F497D" w:themeColor="text2"/>
          <w:sz w:val="28"/>
          <w:szCs w:val="28"/>
        </w:rPr>
        <w:t>scende</w:t>
      </w:r>
      <w:r w:rsidR="00BB39B6" w:rsidRPr="008F73EB">
        <w:rPr>
          <w:rFonts w:ascii="Georgia" w:hAnsi="Georgia" w:cs="Arial"/>
          <w:bCs/>
          <w:color w:val="1F497D" w:themeColor="text2"/>
          <w:sz w:val="28"/>
          <w:szCs w:val="28"/>
        </w:rPr>
        <w:t xml:space="preserve"> a 104 miliardi (-3,6%)</w:t>
      </w:r>
      <w:r w:rsidR="009B6557" w:rsidRPr="008F73EB">
        <w:rPr>
          <w:rFonts w:ascii="Georgia" w:hAnsi="Georgia" w:cs="Arial"/>
          <w:bCs/>
          <w:color w:val="1F497D" w:themeColor="text2"/>
          <w:sz w:val="28"/>
          <w:szCs w:val="28"/>
        </w:rPr>
        <w:t xml:space="preserve"> </w:t>
      </w:r>
      <w:r w:rsidR="0097109A" w:rsidRPr="008F73EB">
        <w:rPr>
          <w:rFonts w:ascii="Georgia" w:hAnsi="Georgia" w:cs="Arial"/>
          <w:bCs/>
          <w:color w:val="1F497D" w:themeColor="text2"/>
          <w:sz w:val="28"/>
          <w:szCs w:val="28"/>
        </w:rPr>
        <w:t>m</w:t>
      </w:r>
      <w:r w:rsidR="00BB39B6" w:rsidRPr="008F73EB">
        <w:rPr>
          <w:rFonts w:ascii="Georgia" w:hAnsi="Georgia" w:cs="Arial"/>
          <w:bCs/>
          <w:color w:val="1F497D" w:themeColor="text2"/>
          <w:sz w:val="28"/>
          <w:szCs w:val="28"/>
        </w:rPr>
        <w:t>e</w:t>
      </w:r>
      <w:r w:rsidR="0097109A" w:rsidRPr="008F73EB">
        <w:rPr>
          <w:rFonts w:ascii="Georgia" w:hAnsi="Georgia" w:cs="Arial"/>
          <w:bCs/>
          <w:color w:val="1F497D" w:themeColor="text2"/>
          <w:sz w:val="28"/>
          <w:szCs w:val="28"/>
        </w:rPr>
        <w:t>ntre</w:t>
      </w:r>
      <w:r w:rsidR="00BB39B6" w:rsidRPr="008F73EB">
        <w:rPr>
          <w:rFonts w:ascii="Georgia" w:hAnsi="Georgia" w:cs="Arial"/>
          <w:bCs/>
          <w:color w:val="1F497D" w:themeColor="text2"/>
          <w:sz w:val="28"/>
          <w:szCs w:val="28"/>
        </w:rPr>
        <w:t xml:space="preserve"> la </w:t>
      </w:r>
      <w:r w:rsidR="0024110F">
        <w:rPr>
          <w:rFonts w:ascii="Georgia" w:hAnsi="Georgia" w:cs="Arial"/>
          <w:b/>
          <w:color w:val="1F497D" w:themeColor="text2"/>
          <w:sz w:val="28"/>
          <w:szCs w:val="28"/>
        </w:rPr>
        <w:t>S</w:t>
      </w:r>
      <w:r w:rsidR="00BB39B6" w:rsidRPr="008F73EB">
        <w:rPr>
          <w:rFonts w:ascii="Georgia" w:hAnsi="Georgia" w:cs="Arial"/>
          <w:b/>
          <w:color w:val="1F497D" w:themeColor="text2"/>
          <w:sz w:val="28"/>
          <w:szCs w:val="28"/>
        </w:rPr>
        <w:t>pesa per la protezione dell’ambiente</w:t>
      </w:r>
      <w:r w:rsidR="0097109A" w:rsidRPr="008F73EB">
        <w:rPr>
          <w:rFonts w:ascii="Georgia" w:hAnsi="Georgia" w:cs="Arial"/>
          <w:color w:val="1F497D" w:themeColor="text2"/>
          <w:sz w:val="28"/>
          <w:szCs w:val="28"/>
        </w:rPr>
        <w:t xml:space="preserve"> </w:t>
      </w:r>
      <w:r w:rsidR="00BC2771" w:rsidRPr="008F73EB">
        <w:rPr>
          <w:rFonts w:ascii="Georgia" w:hAnsi="Georgia" w:cs="Arial"/>
          <w:color w:val="1F497D" w:themeColor="text2"/>
          <w:sz w:val="28"/>
          <w:szCs w:val="28"/>
        </w:rPr>
        <w:t>rimane stabile a</w:t>
      </w:r>
      <w:r w:rsidR="00BC2771">
        <w:rPr>
          <w:rFonts w:ascii="Georgia" w:hAnsi="Georgia" w:cs="Arial"/>
          <w:color w:val="1F497D" w:themeColor="text2"/>
          <w:sz w:val="28"/>
          <w:szCs w:val="28"/>
        </w:rPr>
        <w:t xml:space="preserve"> </w:t>
      </w:r>
      <w:r w:rsidR="00BC2771">
        <w:rPr>
          <w:rFonts w:ascii="Georgia" w:hAnsi="Georgia" w:cs="Arial"/>
          <w:bCs/>
          <w:color w:val="1F497D" w:themeColor="text2"/>
          <w:sz w:val="28"/>
          <w:szCs w:val="28"/>
        </w:rPr>
        <w:t>43 miliardi</w:t>
      </w:r>
      <w:r w:rsidR="00BB39B6">
        <w:rPr>
          <w:rFonts w:ascii="Georgia" w:hAnsi="Georgia" w:cs="Arial"/>
          <w:bCs/>
          <w:color w:val="1F497D" w:themeColor="text2"/>
          <w:sz w:val="28"/>
          <w:szCs w:val="28"/>
        </w:rPr>
        <w:t>.</w:t>
      </w:r>
    </w:p>
    <w:p w14:paraId="28E9B1A6" w14:textId="77777777" w:rsidR="00036548" w:rsidRPr="00036548" w:rsidRDefault="00036548" w:rsidP="00906DEB">
      <w:pPr>
        <w:pStyle w:val="Default"/>
        <w:tabs>
          <w:tab w:val="left" w:pos="567"/>
        </w:tabs>
        <w:ind w:left="142"/>
        <w:jc w:val="both"/>
        <w:rPr>
          <w:rFonts w:ascii="Georgia" w:hAnsi="Georgia" w:cs="Arial"/>
          <w:bCs/>
          <w:color w:val="1F497D" w:themeColor="text2"/>
          <w:sz w:val="28"/>
          <w:szCs w:val="28"/>
        </w:rPr>
      </w:pPr>
    </w:p>
    <w:tbl>
      <w:tblPr>
        <w:tblStyle w:val="Grigliatabella"/>
        <w:tblW w:w="12020" w:type="dxa"/>
        <w:tblInd w:w="-851" w:type="dxa"/>
        <w:tblBorders>
          <w:top w:val="none" w:sz="0" w:space="0" w:color="auto"/>
          <w:left w:val="none" w:sz="0" w:space="0" w:color="auto"/>
          <w:bottom w:val="none" w:sz="0" w:space="0" w:color="auto"/>
          <w:right w:val="single" w:sz="8" w:space="0" w:color="FFFFFF" w:themeColor="background1"/>
          <w:insideH w:val="none" w:sz="0" w:space="0" w:color="auto"/>
          <w:insideV w:val="single" w:sz="12" w:space="0" w:color="FFFFFF" w:themeColor="background1"/>
        </w:tblBorders>
        <w:tblLayout w:type="fixed"/>
        <w:tblCellMar>
          <w:left w:w="113" w:type="dxa"/>
          <w:right w:w="113" w:type="dxa"/>
        </w:tblCellMar>
        <w:tblLook w:val="04A0" w:firstRow="1" w:lastRow="0" w:firstColumn="1" w:lastColumn="0" w:noHBand="0" w:noVBand="1"/>
      </w:tblPr>
      <w:tblGrid>
        <w:gridCol w:w="4080"/>
        <w:gridCol w:w="3968"/>
        <w:gridCol w:w="3972"/>
      </w:tblGrid>
      <w:tr w:rsidR="007E6EAA" w:rsidRPr="00AA7127" w14:paraId="0D893943" w14:textId="77777777" w:rsidTr="00593ED9">
        <w:trPr>
          <w:trHeight w:val="72"/>
        </w:trPr>
        <w:tc>
          <w:tcPr>
            <w:tcW w:w="12020" w:type="dxa"/>
            <w:gridSpan w:val="3"/>
            <w:shd w:val="clear" w:color="auto" w:fill="D9D9D9" w:themeFill="background1" w:themeFillShade="D9"/>
          </w:tcPr>
          <w:p w14:paraId="5D1519BC" w14:textId="77777777" w:rsidR="003A460A" w:rsidRPr="00AA7127" w:rsidRDefault="007E6EAA" w:rsidP="003A460A">
            <w:pPr>
              <w:tabs>
                <w:tab w:val="left" w:pos="1401"/>
                <w:tab w:val="left" w:pos="2295"/>
              </w:tabs>
              <w:autoSpaceDE w:val="0"/>
              <w:autoSpaceDN w:val="0"/>
              <w:adjustRightInd w:val="0"/>
              <w:rPr>
                <w:rFonts w:ascii="Georgia" w:hAnsi="Georgia" w:cs="Arial"/>
                <w:b/>
                <w:bCs/>
                <w:color w:val="1F497D" w:themeColor="text2"/>
                <w:sz w:val="16"/>
                <w:szCs w:val="16"/>
              </w:rPr>
            </w:pPr>
            <w:r w:rsidRPr="00AA7127">
              <w:rPr>
                <w:rFonts w:ascii="Georgia" w:hAnsi="Georgia" w:cs="Arial"/>
                <w:b/>
                <w:bCs/>
                <w:color w:val="1F497D" w:themeColor="text2"/>
                <w:sz w:val="16"/>
                <w:szCs w:val="16"/>
              </w:rPr>
              <w:tab/>
            </w:r>
            <w:r w:rsidR="003A460A" w:rsidRPr="00AA7127">
              <w:rPr>
                <w:rFonts w:ascii="Georgia" w:hAnsi="Georgia" w:cs="Arial"/>
                <w:b/>
                <w:bCs/>
                <w:color w:val="1F497D" w:themeColor="text2"/>
                <w:sz w:val="16"/>
                <w:szCs w:val="16"/>
              </w:rPr>
              <w:tab/>
            </w:r>
          </w:p>
        </w:tc>
      </w:tr>
      <w:tr w:rsidR="0057329F" w:rsidRPr="001A62B5" w14:paraId="626D23E7" w14:textId="77777777" w:rsidTr="00593ED9">
        <w:trPr>
          <w:trHeight w:val="3969"/>
        </w:trPr>
        <w:tc>
          <w:tcPr>
            <w:tcW w:w="4080" w:type="dxa"/>
            <w:shd w:val="clear" w:color="auto" w:fill="D9D9D9" w:themeFill="background1" w:themeFillShade="D9"/>
          </w:tcPr>
          <w:tbl>
            <w:tblPr>
              <w:tblStyle w:val="Grigliatabella"/>
              <w:tblW w:w="11907" w:type="dxa"/>
              <w:tblBorders>
                <w:top w:val="none" w:sz="0" w:space="0" w:color="auto"/>
                <w:left w:val="none" w:sz="0" w:space="0" w:color="auto"/>
                <w:bottom w:val="none" w:sz="0" w:space="0" w:color="auto"/>
                <w:right w:val="single" w:sz="8" w:space="0" w:color="FFFFFF" w:themeColor="background1"/>
                <w:insideH w:val="none" w:sz="0" w:space="0" w:color="auto"/>
                <w:insideV w:val="single" w:sz="12" w:space="0" w:color="FFFFFF" w:themeColor="background1"/>
              </w:tblBorders>
              <w:tblLayout w:type="fixed"/>
              <w:tblCellMar>
                <w:left w:w="113" w:type="dxa"/>
                <w:right w:w="113" w:type="dxa"/>
              </w:tblCellMar>
              <w:tblLook w:val="04A0" w:firstRow="1" w:lastRow="0" w:firstColumn="1" w:lastColumn="0" w:noHBand="0" w:noVBand="1"/>
            </w:tblPr>
            <w:tblGrid>
              <w:gridCol w:w="3967"/>
              <w:gridCol w:w="3968"/>
              <w:gridCol w:w="3972"/>
            </w:tblGrid>
            <w:tr w:rsidR="0057329F" w:rsidRPr="00AA7127" w14:paraId="545E9156" w14:textId="77777777" w:rsidTr="0036321A">
              <w:trPr>
                <w:trHeight w:val="3969"/>
              </w:trPr>
              <w:tc>
                <w:tcPr>
                  <w:tcW w:w="3967" w:type="dxa"/>
                  <w:shd w:val="clear" w:color="auto" w:fill="D9D9D9" w:themeFill="background1" w:themeFillShade="D9"/>
                </w:tcPr>
                <w:p w14:paraId="6339BCCD" w14:textId="7A1B0955" w:rsidR="00E31103" w:rsidRPr="00967CF5" w:rsidRDefault="00BB39B6" w:rsidP="00E31103">
                  <w:pPr>
                    <w:tabs>
                      <w:tab w:val="left" w:pos="317"/>
                      <w:tab w:val="left" w:pos="743"/>
                    </w:tabs>
                    <w:autoSpaceDE w:val="0"/>
                    <w:autoSpaceDN w:val="0"/>
                    <w:adjustRightInd w:val="0"/>
                    <w:ind w:left="226"/>
                    <w:rPr>
                      <w:rFonts w:ascii="Georgia" w:hAnsi="Georgia" w:cs="Arial"/>
                      <w:b/>
                      <w:bCs/>
                      <w:color w:val="1F497D"/>
                      <w:sz w:val="26"/>
                      <w:szCs w:val="26"/>
                    </w:rPr>
                  </w:pPr>
                  <w:r>
                    <w:rPr>
                      <w:rFonts w:ascii="Georgia" w:hAnsi="Georgia" w:cs="Arial"/>
                      <w:bCs/>
                      <w:color w:val="E42618"/>
                      <w:sz w:val="88"/>
                      <w:szCs w:val="88"/>
                    </w:rPr>
                    <w:t>-9,5</w:t>
                  </w:r>
                  <w:r w:rsidR="007A2B55" w:rsidRPr="007A2B55">
                    <w:rPr>
                      <w:rFonts w:ascii="Georgia" w:hAnsi="Georgia" w:cs="Arial"/>
                      <w:bCs/>
                      <w:color w:val="E42618"/>
                      <w:sz w:val="88"/>
                      <w:szCs w:val="88"/>
                    </w:rPr>
                    <w:t>%</w:t>
                  </w:r>
                </w:p>
                <w:p w14:paraId="1BA292F5" w14:textId="77777777" w:rsidR="007A2B55" w:rsidRPr="00967CF5" w:rsidRDefault="007A2B55" w:rsidP="00593ED9">
                  <w:pPr>
                    <w:tabs>
                      <w:tab w:val="left" w:pos="317"/>
                      <w:tab w:val="left" w:pos="743"/>
                    </w:tabs>
                    <w:autoSpaceDE w:val="0"/>
                    <w:autoSpaceDN w:val="0"/>
                    <w:adjustRightInd w:val="0"/>
                    <w:ind w:left="226"/>
                    <w:rPr>
                      <w:rFonts w:ascii="Georgia" w:hAnsi="Georgia" w:cs="Arial"/>
                      <w:b/>
                      <w:bCs/>
                      <w:color w:val="1F497D"/>
                      <w:sz w:val="26"/>
                      <w:szCs w:val="26"/>
                    </w:rPr>
                  </w:pPr>
                </w:p>
                <w:p w14:paraId="25CF2FAB" w14:textId="15AD3B3F" w:rsidR="005E5761" w:rsidRDefault="00BB39B6" w:rsidP="00593ED9">
                  <w:pPr>
                    <w:tabs>
                      <w:tab w:val="left" w:pos="194"/>
                      <w:tab w:val="left" w:pos="743"/>
                    </w:tabs>
                    <w:autoSpaceDE w:val="0"/>
                    <w:autoSpaceDN w:val="0"/>
                    <w:adjustRightInd w:val="0"/>
                    <w:ind w:left="226"/>
                    <w:rPr>
                      <w:rFonts w:ascii="Georgia" w:hAnsi="Georgia" w:cs="Arial"/>
                      <w:b/>
                      <w:bCs/>
                      <w:color w:val="E42618"/>
                      <w:sz w:val="26"/>
                      <w:szCs w:val="26"/>
                    </w:rPr>
                  </w:pPr>
                  <w:r w:rsidRPr="00BB39B6">
                    <w:rPr>
                      <w:rFonts w:ascii="Georgia" w:hAnsi="Georgia" w:cs="Arial"/>
                      <w:b/>
                      <w:bCs/>
                      <w:color w:val="E42618"/>
                      <w:sz w:val="26"/>
                      <w:szCs w:val="26"/>
                    </w:rPr>
                    <w:t>Il calo dei consumi energetici delle famiglie rispetto al 2019</w:t>
                  </w:r>
                </w:p>
                <w:p w14:paraId="31C69383" w14:textId="5DBADE41" w:rsidR="00BB39B6" w:rsidRDefault="00BB39B6" w:rsidP="00593ED9">
                  <w:pPr>
                    <w:tabs>
                      <w:tab w:val="left" w:pos="194"/>
                      <w:tab w:val="left" w:pos="743"/>
                    </w:tabs>
                    <w:autoSpaceDE w:val="0"/>
                    <w:autoSpaceDN w:val="0"/>
                    <w:adjustRightInd w:val="0"/>
                    <w:ind w:left="226"/>
                    <w:rPr>
                      <w:rFonts w:ascii="Arial Narrow" w:hAnsi="Arial Narrow" w:cs="Arial"/>
                      <w:color w:val="1F497D"/>
                      <w:sz w:val="26"/>
                      <w:szCs w:val="26"/>
                    </w:rPr>
                  </w:pPr>
                </w:p>
                <w:p w14:paraId="64ED4398" w14:textId="77777777" w:rsidR="00AB1EA3" w:rsidRDefault="00AB1EA3" w:rsidP="00593ED9">
                  <w:pPr>
                    <w:tabs>
                      <w:tab w:val="left" w:pos="194"/>
                      <w:tab w:val="left" w:pos="743"/>
                    </w:tabs>
                    <w:autoSpaceDE w:val="0"/>
                    <w:autoSpaceDN w:val="0"/>
                    <w:adjustRightInd w:val="0"/>
                    <w:ind w:left="226"/>
                    <w:rPr>
                      <w:rFonts w:ascii="Arial Narrow" w:hAnsi="Arial Narrow" w:cs="Arial"/>
                      <w:color w:val="1F497D"/>
                      <w:sz w:val="26"/>
                      <w:szCs w:val="26"/>
                    </w:rPr>
                  </w:pPr>
                </w:p>
                <w:p w14:paraId="50ACBF5D" w14:textId="20B4451B" w:rsidR="0057329F" w:rsidRPr="007A2B55" w:rsidRDefault="009B6557">
                  <w:pPr>
                    <w:tabs>
                      <w:tab w:val="left" w:pos="194"/>
                      <w:tab w:val="left" w:pos="743"/>
                    </w:tabs>
                    <w:autoSpaceDE w:val="0"/>
                    <w:autoSpaceDN w:val="0"/>
                    <w:adjustRightInd w:val="0"/>
                    <w:ind w:left="226"/>
                    <w:rPr>
                      <w:rFonts w:ascii="Arial Narrow" w:hAnsi="Arial Narrow" w:cs="Arial"/>
                      <w:color w:val="1F497D"/>
                      <w:sz w:val="26"/>
                      <w:szCs w:val="26"/>
                    </w:rPr>
                  </w:pPr>
                  <w:r>
                    <w:rPr>
                      <w:rFonts w:ascii="Arial Narrow" w:hAnsi="Arial Narrow" w:cs="Arial"/>
                      <w:bCs/>
                      <w:color w:val="1F497D"/>
                    </w:rPr>
                    <w:t>-</w:t>
                  </w:r>
                  <w:r w:rsidR="00BB39B6" w:rsidRPr="00BB39B6">
                    <w:rPr>
                      <w:rFonts w:ascii="Arial Narrow" w:hAnsi="Arial Narrow" w:cs="Arial"/>
                      <w:bCs/>
                      <w:color w:val="1F497D"/>
                    </w:rPr>
                    <w:t>21% i consumi energetici per il trasporto delle famiglie</w:t>
                  </w:r>
                  <w:r w:rsidR="0097109A">
                    <w:rPr>
                      <w:rFonts w:ascii="Arial Narrow" w:hAnsi="Arial Narrow" w:cs="Arial"/>
                      <w:bCs/>
                      <w:color w:val="1F497D"/>
                    </w:rPr>
                    <w:t>.</w:t>
                  </w:r>
                  <w:r>
                    <w:rPr>
                      <w:rFonts w:ascii="Arial Narrow" w:hAnsi="Arial Narrow" w:cs="Arial"/>
                      <w:bCs/>
                      <w:color w:val="1F497D"/>
                    </w:rPr>
                    <w:t xml:space="preserve"> </w:t>
                  </w:r>
                </w:p>
              </w:tc>
              <w:tc>
                <w:tcPr>
                  <w:tcW w:w="3968" w:type="dxa"/>
                  <w:shd w:val="clear" w:color="auto" w:fill="D9D9D9" w:themeFill="background1" w:themeFillShade="D9"/>
                </w:tcPr>
                <w:p w14:paraId="0E36382B" w14:textId="77777777" w:rsidR="0057329F" w:rsidRPr="00AA7127" w:rsidRDefault="0057329F" w:rsidP="002B3D30">
                  <w:pPr>
                    <w:tabs>
                      <w:tab w:val="left" w:pos="851"/>
                    </w:tabs>
                    <w:autoSpaceDE w:val="0"/>
                    <w:autoSpaceDN w:val="0"/>
                    <w:adjustRightInd w:val="0"/>
                    <w:ind w:left="143"/>
                    <w:rPr>
                      <w:rFonts w:ascii="Georgia" w:hAnsi="Georgia" w:cs="Arial"/>
                      <w:bCs/>
                      <w:color w:val="1F497D" w:themeColor="text2"/>
                      <w:sz w:val="88"/>
                      <w:szCs w:val="88"/>
                    </w:rPr>
                  </w:pPr>
                  <w:r w:rsidRPr="00AA7127">
                    <w:rPr>
                      <w:rFonts w:ascii="Georgia" w:hAnsi="Georgia" w:cs="Arial"/>
                      <w:bCs/>
                      <w:color w:val="1F497D" w:themeColor="text2"/>
                      <w:sz w:val="88"/>
                      <w:szCs w:val="88"/>
                    </w:rPr>
                    <w:t>+2,7%</w:t>
                  </w:r>
                </w:p>
                <w:p w14:paraId="511573E1" w14:textId="77777777" w:rsidR="0057329F" w:rsidRPr="00AA7127" w:rsidRDefault="0057329F" w:rsidP="002B3D30">
                  <w:pPr>
                    <w:tabs>
                      <w:tab w:val="left" w:pos="311"/>
                    </w:tabs>
                    <w:autoSpaceDE w:val="0"/>
                    <w:autoSpaceDN w:val="0"/>
                    <w:adjustRightInd w:val="0"/>
                    <w:ind w:left="35"/>
                    <w:rPr>
                      <w:rFonts w:ascii="Georgia" w:hAnsi="Georgia" w:cs="Arial"/>
                      <w:b/>
                      <w:bCs/>
                      <w:color w:val="E42618"/>
                      <w:sz w:val="26"/>
                      <w:szCs w:val="26"/>
                    </w:rPr>
                  </w:pPr>
                </w:p>
                <w:p w14:paraId="3F0B69A9" w14:textId="77777777" w:rsidR="0057329F" w:rsidRPr="00AA7127" w:rsidRDefault="0057329F" w:rsidP="002B3D30">
                  <w:pPr>
                    <w:tabs>
                      <w:tab w:val="left" w:pos="851"/>
                    </w:tabs>
                    <w:autoSpaceDE w:val="0"/>
                    <w:autoSpaceDN w:val="0"/>
                    <w:adjustRightInd w:val="0"/>
                    <w:ind w:left="143"/>
                    <w:rPr>
                      <w:rFonts w:ascii="Georgia" w:hAnsi="Georgia" w:cs="Arial"/>
                      <w:b/>
                      <w:bCs/>
                      <w:color w:val="1F497D" w:themeColor="text2"/>
                      <w:sz w:val="26"/>
                      <w:szCs w:val="26"/>
                    </w:rPr>
                  </w:pPr>
                  <w:r w:rsidRPr="00AA7127">
                    <w:rPr>
                      <w:rFonts w:ascii="Georgia" w:hAnsi="Georgia" w:cs="Arial"/>
                      <w:b/>
                      <w:bCs/>
                      <w:color w:val="1F497D" w:themeColor="text2"/>
                      <w:sz w:val="26"/>
                      <w:szCs w:val="26"/>
                    </w:rPr>
                    <w:t>In aumento le famiglie che nel 2018 effettuano la raccolta differenziata della plastica</w:t>
                  </w:r>
                </w:p>
                <w:p w14:paraId="33E159F4" w14:textId="77777777" w:rsidR="0057329F" w:rsidRPr="00AA7127" w:rsidRDefault="0057329F" w:rsidP="002B3D30">
                  <w:pPr>
                    <w:tabs>
                      <w:tab w:val="left" w:pos="851"/>
                    </w:tabs>
                    <w:autoSpaceDE w:val="0"/>
                    <w:autoSpaceDN w:val="0"/>
                    <w:adjustRightInd w:val="0"/>
                    <w:ind w:left="143"/>
                    <w:rPr>
                      <w:rFonts w:ascii="Arial Narrow" w:hAnsi="Arial Narrow" w:cs="Arial"/>
                      <w:bCs/>
                      <w:color w:val="1F497D" w:themeColor="text2"/>
                    </w:rPr>
                  </w:pPr>
                </w:p>
                <w:p w14:paraId="6744AC25" w14:textId="77777777" w:rsidR="0057329F" w:rsidRPr="00AA7127" w:rsidRDefault="0057329F" w:rsidP="002B3D30">
                  <w:pPr>
                    <w:tabs>
                      <w:tab w:val="left" w:pos="0"/>
                    </w:tabs>
                    <w:autoSpaceDE w:val="0"/>
                    <w:autoSpaceDN w:val="0"/>
                    <w:adjustRightInd w:val="0"/>
                    <w:ind w:left="143"/>
                    <w:rPr>
                      <w:rFonts w:ascii="Arial Narrow" w:hAnsi="Arial Narrow" w:cs="Arial"/>
                      <w:bCs/>
                      <w:color w:val="1F497D" w:themeColor="text2"/>
                    </w:rPr>
                  </w:pPr>
                </w:p>
                <w:p w14:paraId="508D04B9" w14:textId="77777777" w:rsidR="0057329F" w:rsidRPr="00AA7127" w:rsidRDefault="0057329F" w:rsidP="002B3D30">
                  <w:pPr>
                    <w:tabs>
                      <w:tab w:val="left" w:pos="0"/>
                    </w:tabs>
                    <w:autoSpaceDE w:val="0"/>
                    <w:autoSpaceDN w:val="0"/>
                    <w:adjustRightInd w:val="0"/>
                    <w:ind w:left="143"/>
                    <w:rPr>
                      <w:rFonts w:ascii="Georgia" w:hAnsi="Georgia" w:cs="Arial"/>
                      <w:b/>
                      <w:bCs/>
                      <w:color w:val="244061" w:themeColor="accent1" w:themeShade="80"/>
                      <w:sz w:val="28"/>
                      <w:szCs w:val="28"/>
                    </w:rPr>
                  </w:pPr>
                  <w:r w:rsidRPr="00AA7127">
                    <w:rPr>
                      <w:rFonts w:ascii="Arial Narrow" w:hAnsi="Arial Narrow" w:cs="Arial"/>
                      <w:bCs/>
                      <w:color w:val="1F497D" w:themeColor="text2"/>
                    </w:rPr>
                    <w:t>Aumentano del 2,2% nel 2018 le famiglie che raccolgono in modo differenziata la carta..</w:t>
                  </w:r>
                </w:p>
              </w:tc>
              <w:tc>
                <w:tcPr>
                  <w:tcW w:w="3972" w:type="dxa"/>
                  <w:shd w:val="clear" w:color="auto" w:fill="D9D9D9" w:themeFill="background1" w:themeFillShade="D9"/>
                  <w:tcMar>
                    <w:left w:w="284" w:type="dxa"/>
                    <w:right w:w="284" w:type="dxa"/>
                  </w:tcMar>
                </w:tcPr>
                <w:p w14:paraId="4CFAFBA8" w14:textId="77777777" w:rsidR="0057329F" w:rsidRPr="00AA7127" w:rsidRDefault="0057329F" w:rsidP="002B3D30">
                  <w:pPr>
                    <w:tabs>
                      <w:tab w:val="left" w:pos="851"/>
                      <w:tab w:val="left" w:pos="2575"/>
                    </w:tabs>
                    <w:autoSpaceDE w:val="0"/>
                    <w:autoSpaceDN w:val="0"/>
                    <w:adjustRightInd w:val="0"/>
                    <w:ind w:right="570"/>
                    <w:rPr>
                      <w:rFonts w:ascii="Georgia" w:hAnsi="Georgia" w:cs="Arial"/>
                      <w:bCs/>
                      <w:color w:val="E42618"/>
                      <w:sz w:val="88"/>
                      <w:szCs w:val="88"/>
                    </w:rPr>
                  </w:pPr>
                  <w:r w:rsidRPr="00AA7127">
                    <w:rPr>
                      <w:rFonts w:ascii="Georgia" w:hAnsi="Georgia" w:cs="Arial"/>
                      <w:bCs/>
                      <w:color w:val="E42618"/>
                      <w:sz w:val="88"/>
                      <w:szCs w:val="88"/>
                    </w:rPr>
                    <w:t xml:space="preserve">+4,0% </w:t>
                  </w:r>
                </w:p>
                <w:p w14:paraId="53953CB0" w14:textId="77777777" w:rsidR="0057329F" w:rsidRPr="00AA7127" w:rsidRDefault="0057329F" w:rsidP="002B3D30">
                  <w:pPr>
                    <w:tabs>
                      <w:tab w:val="left" w:pos="0"/>
                      <w:tab w:val="left" w:pos="2575"/>
                    </w:tabs>
                    <w:autoSpaceDE w:val="0"/>
                    <w:autoSpaceDN w:val="0"/>
                    <w:adjustRightInd w:val="0"/>
                    <w:ind w:left="5" w:right="570" w:firstLine="709"/>
                    <w:rPr>
                      <w:rFonts w:ascii="Georgia" w:hAnsi="Georgia" w:cs="Arial"/>
                      <w:b/>
                      <w:bCs/>
                      <w:color w:val="244061" w:themeColor="accent1" w:themeShade="80"/>
                      <w:sz w:val="22"/>
                      <w:szCs w:val="22"/>
                    </w:rPr>
                  </w:pPr>
                </w:p>
                <w:p w14:paraId="1F4611EB" w14:textId="77777777" w:rsidR="0057329F" w:rsidRPr="00AA7127" w:rsidRDefault="0057329F" w:rsidP="002B3D30">
                  <w:pPr>
                    <w:tabs>
                      <w:tab w:val="left" w:pos="851"/>
                      <w:tab w:val="left" w:pos="2575"/>
                    </w:tabs>
                    <w:autoSpaceDE w:val="0"/>
                    <w:autoSpaceDN w:val="0"/>
                    <w:adjustRightInd w:val="0"/>
                    <w:ind w:right="570"/>
                    <w:rPr>
                      <w:rFonts w:ascii="Georgia" w:hAnsi="Georgia" w:cs="Arial"/>
                      <w:b/>
                      <w:bCs/>
                      <w:color w:val="E42618"/>
                      <w:sz w:val="26"/>
                      <w:szCs w:val="26"/>
                    </w:rPr>
                  </w:pPr>
                  <w:r w:rsidRPr="00AA7127">
                    <w:rPr>
                      <w:rFonts w:ascii="Georgia" w:hAnsi="Georgia" w:cs="Arial"/>
                      <w:b/>
                      <w:bCs/>
                      <w:color w:val="E42618"/>
                      <w:sz w:val="26"/>
                      <w:szCs w:val="26"/>
                    </w:rPr>
                    <w:t>Aumentano nel 2018 le famiglie servite dal servizio di raccolta dei rifiuti “porta a porta”</w:t>
                  </w:r>
                </w:p>
                <w:p w14:paraId="5E2A2003" w14:textId="77777777" w:rsidR="0057329F" w:rsidRPr="00AA7127" w:rsidRDefault="0057329F" w:rsidP="002B3D30">
                  <w:pPr>
                    <w:tabs>
                      <w:tab w:val="left" w:pos="851"/>
                      <w:tab w:val="left" w:pos="2575"/>
                    </w:tabs>
                    <w:autoSpaceDE w:val="0"/>
                    <w:autoSpaceDN w:val="0"/>
                    <w:adjustRightInd w:val="0"/>
                    <w:ind w:right="570"/>
                    <w:rPr>
                      <w:rFonts w:ascii="Georgia" w:hAnsi="Georgia" w:cs="Arial"/>
                      <w:b/>
                      <w:bCs/>
                      <w:color w:val="E42618"/>
                      <w:sz w:val="28"/>
                      <w:szCs w:val="28"/>
                    </w:rPr>
                  </w:pPr>
                </w:p>
                <w:p w14:paraId="111B0369" w14:textId="77777777" w:rsidR="0057329F" w:rsidRPr="00AA7127" w:rsidRDefault="0057329F" w:rsidP="002B3D30">
                  <w:pPr>
                    <w:pStyle w:val="Default"/>
                    <w:tabs>
                      <w:tab w:val="left" w:pos="567"/>
                    </w:tabs>
                    <w:spacing w:after="80"/>
                    <w:ind w:right="228"/>
                    <w:rPr>
                      <w:rFonts w:ascii="Georgia" w:hAnsi="Georgia" w:cs="Arial"/>
                      <w:bCs/>
                      <w:color w:val="244061" w:themeColor="accent1" w:themeShade="80"/>
                      <w:sz w:val="28"/>
                      <w:szCs w:val="28"/>
                    </w:rPr>
                  </w:pPr>
                  <w:r w:rsidRPr="00AA7127">
                    <w:rPr>
                      <w:rFonts w:ascii="Arial Narrow" w:hAnsi="Arial Narrow" w:cs="Arial"/>
                      <w:bCs/>
                      <w:color w:val="1F497D" w:themeColor="text2"/>
                    </w:rPr>
                    <w:t>Un quarto delle famiglie si dichiarano “molto soddisfatte” del servizio di raccolta “porta a porta”..</w:t>
                  </w:r>
                  <w:r w:rsidRPr="00AA7127">
                    <w:rPr>
                      <w:rFonts w:ascii="Georgia" w:hAnsi="Georgia" w:cs="Arial"/>
                      <w:bCs/>
                      <w:color w:val="244061" w:themeColor="accent1" w:themeShade="80"/>
                      <w:sz w:val="28"/>
                      <w:szCs w:val="28"/>
                    </w:rPr>
                    <w:t xml:space="preserve"> </w:t>
                  </w:r>
                </w:p>
              </w:tc>
            </w:tr>
          </w:tbl>
          <w:p w14:paraId="15DFE1B4" w14:textId="77777777" w:rsidR="0057329F" w:rsidRPr="00AA7127" w:rsidRDefault="0057329F" w:rsidP="002B3D30"/>
        </w:tc>
        <w:tc>
          <w:tcPr>
            <w:tcW w:w="3968" w:type="dxa"/>
            <w:shd w:val="clear" w:color="auto" w:fill="D9D9D9" w:themeFill="background1" w:themeFillShade="D9"/>
          </w:tcPr>
          <w:tbl>
            <w:tblPr>
              <w:tblStyle w:val="Grigliatabella"/>
              <w:tblW w:w="11907" w:type="dxa"/>
              <w:tblBorders>
                <w:top w:val="none" w:sz="0" w:space="0" w:color="auto"/>
                <w:left w:val="none" w:sz="0" w:space="0" w:color="auto"/>
                <w:bottom w:val="none" w:sz="0" w:space="0" w:color="auto"/>
                <w:right w:val="single" w:sz="8" w:space="0" w:color="FFFFFF" w:themeColor="background1"/>
                <w:insideH w:val="none" w:sz="0" w:space="0" w:color="auto"/>
                <w:insideV w:val="single" w:sz="12" w:space="0" w:color="FFFFFF" w:themeColor="background1"/>
              </w:tblBorders>
              <w:tblLayout w:type="fixed"/>
              <w:tblCellMar>
                <w:left w:w="113" w:type="dxa"/>
                <w:right w:w="113" w:type="dxa"/>
              </w:tblCellMar>
              <w:tblLook w:val="04A0" w:firstRow="1" w:lastRow="0" w:firstColumn="1" w:lastColumn="0" w:noHBand="0" w:noVBand="1"/>
            </w:tblPr>
            <w:tblGrid>
              <w:gridCol w:w="3967"/>
              <w:gridCol w:w="3968"/>
              <w:gridCol w:w="3972"/>
            </w:tblGrid>
            <w:tr w:rsidR="0057329F" w:rsidRPr="00AA7127" w14:paraId="3C2580D2" w14:textId="77777777" w:rsidTr="0036321A">
              <w:trPr>
                <w:trHeight w:val="3969"/>
              </w:trPr>
              <w:tc>
                <w:tcPr>
                  <w:tcW w:w="3967" w:type="dxa"/>
                  <w:shd w:val="clear" w:color="auto" w:fill="D9D9D9" w:themeFill="background1" w:themeFillShade="D9"/>
                </w:tcPr>
                <w:p w14:paraId="276DA9A8" w14:textId="2351AFBF" w:rsidR="00E17D03" w:rsidRDefault="00BB39B6" w:rsidP="00AC5E34">
                  <w:pPr>
                    <w:tabs>
                      <w:tab w:val="left" w:pos="851"/>
                    </w:tabs>
                    <w:autoSpaceDE w:val="0"/>
                    <w:autoSpaceDN w:val="0"/>
                    <w:adjustRightInd w:val="0"/>
                    <w:rPr>
                      <w:rFonts w:ascii="Georgia" w:hAnsi="Georgia" w:cs="Arial"/>
                      <w:b/>
                      <w:bCs/>
                      <w:color w:val="1F497D" w:themeColor="text2"/>
                      <w:sz w:val="26"/>
                      <w:szCs w:val="26"/>
                      <w:highlight w:val="red"/>
                    </w:rPr>
                  </w:pPr>
                  <w:r w:rsidRPr="00BB39B6">
                    <w:rPr>
                      <w:rFonts w:ascii="Georgia" w:hAnsi="Georgia" w:cs="Arial"/>
                      <w:bCs/>
                      <w:color w:val="1F497D" w:themeColor="text2"/>
                      <w:sz w:val="88"/>
                      <w:szCs w:val="88"/>
                    </w:rPr>
                    <w:t>-12,7%</w:t>
                  </w:r>
                  <w:r w:rsidR="00B23535" w:rsidRPr="001466E7">
                    <w:rPr>
                      <w:rFonts w:ascii="Georgia" w:hAnsi="Georgia" w:cs="Arial"/>
                      <w:bCs/>
                      <w:color w:val="1F497D" w:themeColor="text2"/>
                      <w:szCs w:val="28"/>
                    </w:rPr>
                    <w:t xml:space="preserve"> </w:t>
                  </w:r>
                </w:p>
                <w:p w14:paraId="2FF70256" w14:textId="77777777" w:rsidR="00E31103" w:rsidRPr="00967CF5" w:rsidRDefault="00E31103" w:rsidP="00593ED9">
                  <w:pPr>
                    <w:tabs>
                      <w:tab w:val="left" w:pos="317"/>
                      <w:tab w:val="left" w:pos="743"/>
                    </w:tabs>
                    <w:autoSpaceDE w:val="0"/>
                    <w:autoSpaceDN w:val="0"/>
                    <w:adjustRightInd w:val="0"/>
                    <w:rPr>
                      <w:rFonts w:ascii="Georgia" w:hAnsi="Georgia" w:cs="Arial"/>
                      <w:b/>
                      <w:bCs/>
                      <w:color w:val="1F497D"/>
                      <w:sz w:val="26"/>
                      <w:szCs w:val="26"/>
                    </w:rPr>
                  </w:pPr>
                </w:p>
                <w:p w14:paraId="3086F784" w14:textId="77777777" w:rsidR="0057329F" w:rsidRDefault="00BB39B6" w:rsidP="002B3D30">
                  <w:pPr>
                    <w:tabs>
                      <w:tab w:val="left" w:pos="459"/>
                    </w:tabs>
                    <w:autoSpaceDE w:val="0"/>
                    <w:autoSpaceDN w:val="0"/>
                    <w:adjustRightInd w:val="0"/>
                    <w:rPr>
                      <w:rFonts w:ascii="Georgia" w:hAnsi="Georgia" w:cs="Arial"/>
                      <w:b/>
                      <w:bCs/>
                      <w:color w:val="1F497D" w:themeColor="text2"/>
                      <w:sz w:val="26"/>
                      <w:szCs w:val="26"/>
                    </w:rPr>
                  </w:pPr>
                  <w:r w:rsidRPr="00BB39B6">
                    <w:rPr>
                      <w:rFonts w:ascii="Georgia" w:hAnsi="Georgia" w:cs="Arial"/>
                      <w:b/>
                      <w:bCs/>
                      <w:color w:val="1F497D" w:themeColor="text2"/>
                      <w:sz w:val="26"/>
                      <w:szCs w:val="26"/>
                    </w:rPr>
                    <w:t>La riduzione delle emissioni di gas serra delle famiglie</w:t>
                  </w:r>
                </w:p>
                <w:p w14:paraId="52ED8388" w14:textId="77777777" w:rsidR="00BB39B6" w:rsidRDefault="00BB39B6" w:rsidP="002B3D30">
                  <w:pPr>
                    <w:tabs>
                      <w:tab w:val="left" w:pos="459"/>
                    </w:tabs>
                    <w:autoSpaceDE w:val="0"/>
                    <w:autoSpaceDN w:val="0"/>
                    <w:adjustRightInd w:val="0"/>
                    <w:rPr>
                      <w:rFonts w:ascii="Georgia" w:hAnsi="Georgia" w:cs="Arial"/>
                      <w:b/>
                      <w:bCs/>
                      <w:color w:val="1F497D" w:themeColor="text2"/>
                      <w:sz w:val="26"/>
                      <w:szCs w:val="26"/>
                    </w:rPr>
                  </w:pPr>
                </w:p>
                <w:p w14:paraId="21F2F694" w14:textId="65344767" w:rsidR="00BB39B6" w:rsidRPr="00AA7127" w:rsidRDefault="00BB39B6" w:rsidP="002B3D30">
                  <w:pPr>
                    <w:tabs>
                      <w:tab w:val="left" w:pos="459"/>
                    </w:tabs>
                    <w:autoSpaceDE w:val="0"/>
                    <w:autoSpaceDN w:val="0"/>
                    <w:adjustRightInd w:val="0"/>
                    <w:rPr>
                      <w:rFonts w:ascii="Arial Narrow" w:hAnsi="Arial Narrow" w:cs="Arial"/>
                      <w:bCs/>
                      <w:color w:val="244061" w:themeColor="accent1" w:themeShade="80"/>
                    </w:rPr>
                  </w:pPr>
                </w:p>
              </w:tc>
              <w:tc>
                <w:tcPr>
                  <w:tcW w:w="3968" w:type="dxa"/>
                  <w:shd w:val="clear" w:color="auto" w:fill="D9D9D9" w:themeFill="background1" w:themeFillShade="D9"/>
                </w:tcPr>
                <w:p w14:paraId="00EA6336" w14:textId="77777777" w:rsidR="0057329F" w:rsidRPr="00AA7127" w:rsidRDefault="0057329F" w:rsidP="0057329F">
                  <w:pPr>
                    <w:tabs>
                      <w:tab w:val="left" w:pos="851"/>
                    </w:tabs>
                    <w:autoSpaceDE w:val="0"/>
                    <w:autoSpaceDN w:val="0"/>
                    <w:adjustRightInd w:val="0"/>
                    <w:ind w:left="143"/>
                    <w:rPr>
                      <w:rFonts w:ascii="Georgia" w:hAnsi="Georgia" w:cs="Arial"/>
                      <w:bCs/>
                      <w:color w:val="1F497D" w:themeColor="text2"/>
                      <w:sz w:val="88"/>
                      <w:szCs w:val="88"/>
                    </w:rPr>
                  </w:pPr>
                  <w:r w:rsidRPr="00AA7127">
                    <w:rPr>
                      <w:rFonts w:ascii="Georgia" w:hAnsi="Georgia" w:cs="Arial"/>
                      <w:bCs/>
                      <w:color w:val="1F497D" w:themeColor="text2"/>
                      <w:sz w:val="88"/>
                      <w:szCs w:val="88"/>
                    </w:rPr>
                    <w:t>+2,7%</w:t>
                  </w:r>
                </w:p>
                <w:p w14:paraId="3AECC11F" w14:textId="77777777" w:rsidR="0057329F" w:rsidRPr="00AA7127" w:rsidRDefault="0057329F" w:rsidP="0057329F">
                  <w:pPr>
                    <w:tabs>
                      <w:tab w:val="left" w:pos="311"/>
                    </w:tabs>
                    <w:autoSpaceDE w:val="0"/>
                    <w:autoSpaceDN w:val="0"/>
                    <w:adjustRightInd w:val="0"/>
                    <w:ind w:left="35"/>
                    <w:rPr>
                      <w:rFonts w:ascii="Georgia" w:hAnsi="Georgia" w:cs="Arial"/>
                      <w:b/>
                      <w:bCs/>
                      <w:color w:val="E42618"/>
                      <w:sz w:val="26"/>
                      <w:szCs w:val="26"/>
                    </w:rPr>
                  </w:pPr>
                </w:p>
                <w:p w14:paraId="27B98613" w14:textId="77777777" w:rsidR="0057329F" w:rsidRPr="00AA7127" w:rsidRDefault="0057329F" w:rsidP="0057329F">
                  <w:pPr>
                    <w:tabs>
                      <w:tab w:val="left" w:pos="851"/>
                    </w:tabs>
                    <w:autoSpaceDE w:val="0"/>
                    <w:autoSpaceDN w:val="0"/>
                    <w:adjustRightInd w:val="0"/>
                    <w:ind w:left="143"/>
                    <w:rPr>
                      <w:rFonts w:ascii="Georgia" w:hAnsi="Georgia" w:cs="Arial"/>
                      <w:b/>
                      <w:bCs/>
                      <w:color w:val="1F497D" w:themeColor="text2"/>
                      <w:sz w:val="26"/>
                      <w:szCs w:val="26"/>
                    </w:rPr>
                  </w:pPr>
                  <w:r w:rsidRPr="00AA7127">
                    <w:rPr>
                      <w:rFonts w:ascii="Georgia" w:hAnsi="Georgia" w:cs="Arial"/>
                      <w:b/>
                      <w:bCs/>
                      <w:color w:val="1F497D" w:themeColor="text2"/>
                      <w:sz w:val="26"/>
                      <w:szCs w:val="26"/>
                    </w:rPr>
                    <w:t>In aumento le famiglie che nel 2018 effettuano la raccolta differenziata della plastica</w:t>
                  </w:r>
                </w:p>
                <w:p w14:paraId="1359549B" w14:textId="77777777" w:rsidR="0057329F" w:rsidRPr="00AA7127" w:rsidRDefault="0057329F" w:rsidP="0057329F">
                  <w:pPr>
                    <w:tabs>
                      <w:tab w:val="left" w:pos="851"/>
                    </w:tabs>
                    <w:autoSpaceDE w:val="0"/>
                    <w:autoSpaceDN w:val="0"/>
                    <w:adjustRightInd w:val="0"/>
                    <w:ind w:left="143"/>
                    <w:rPr>
                      <w:rFonts w:ascii="Arial Narrow" w:hAnsi="Arial Narrow" w:cs="Arial"/>
                      <w:bCs/>
                      <w:color w:val="1F497D" w:themeColor="text2"/>
                    </w:rPr>
                  </w:pPr>
                </w:p>
                <w:p w14:paraId="650F7FA5" w14:textId="77777777" w:rsidR="0057329F" w:rsidRPr="00AA7127" w:rsidRDefault="0057329F" w:rsidP="0057329F">
                  <w:pPr>
                    <w:tabs>
                      <w:tab w:val="left" w:pos="0"/>
                    </w:tabs>
                    <w:autoSpaceDE w:val="0"/>
                    <w:autoSpaceDN w:val="0"/>
                    <w:adjustRightInd w:val="0"/>
                    <w:ind w:left="143"/>
                    <w:rPr>
                      <w:rFonts w:ascii="Arial Narrow" w:hAnsi="Arial Narrow" w:cs="Arial"/>
                      <w:bCs/>
                      <w:color w:val="1F497D" w:themeColor="text2"/>
                    </w:rPr>
                  </w:pPr>
                </w:p>
                <w:p w14:paraId="1EA0C5C5" w14:textId="77777777" w:rsidR="0057329F" w:rsidRPr="00AA7127" w:rsidRDefault="0057329F" w:rsidP="0057329F">
                  <w:pPr>
                    <w:tabs>
                      <w:tab w:val="left" w:pos="0"/>
                    </w:tabs>
                    <w:autoSpaceDE w:val="0"/>
                    <w:autoSpaceDN w:val="0"/>
                    <w:adjustRightInd w:val="0"/>
                    <w:ind w:left="143"/>
                    <w:rPr>
                      <w:rFonts w:ascii="Georgia" w:hAnsi="Georgia" w:cs="Arial"/>
                      <w:b/>
                      <w:bCs/>
                      <w:color w:val="244061" w:themeColor="accent1" w:themeShade="80"/>
                      <w:sz w:val="28"/>
                      <w:szCs w:val="28"/>
                    </w:rPr>
                  </w:pPr>
                  <w:r w:rsidRPr="00AA7127">
                    <w:rPr>
                      <w:rFonts w:ascii="Arial Narrow" w:hAnsi="Arial Narrow" w:cs="Arial"/>
                      <w:bCs/>
                      <w:color w:val="1F497D" w:themeColor="text2"/>
                    </w:rPr>
                    <w:t>Aumentano del 2,2% nel 2018 le famiglie che raccolgono in modo differenziata la carta..</w:t>
                  </w:r>
                </w:p>
              </w:tc>
              <w:tc>
                <w:tcPr>
                  <w:tcW w:w="3972" w:type="dxa"/>
                  <w:shd w:val="clear" w:color="auto" w:fill="D9D9D9" w:themeFill="background1" w:themeFillShade="D9"/>
                  <w:tcMar>
                    <w:left w:w="284" w:type="dxa"/>
                    <w:right w:w="284" w:type="dxa"/>
                  </w:tcMar>
                </w:tcPr>
                <w:p w14:paraId="18CFCE77" w14:textId="77777777" w:rsidR="0057329F" w:rsidRPr="00AA7127" w:rsidRDefault="0057329F" w:rsidP="0057329F">
                  <w:pPr>
                    <w:tabs>
                      <w:tab w:val="left" w:pos="851"/>
                      <w:tab w:val="left" w:pos="2575"/>
                    </w:tabs>
                    <w:autoSpaceDE w:val="0"/>
                    <w:autoSpaceDN w:val="0"/>
                    <w:adjustRightInd w:val="0"/>
                    <w:ind w:right="570"/>
                    <w:rPr>
                      <w:rFonts w:ascii="Georgia" w:hAnsi="Georgia" w:cs="Arial"/>
                      <w:bCs/>
                      <w:color w:val="E42618"/>
                      <w:sz w:val="88"/>
                      <w:szCs w:val="88"/>
                    </w:rPr>
                  </w:pPr>
                  <w:r w:rsidRPr="00AA7127">
                    <w:rPr>
                      <w:rFonts w:ascii="Georgia" w:hAnsi="Georgia" w:cs="Arial"/>
                      <w:bCs/>
                      <w:color w:val="E42618"/>
                      <w:sz w:val="88"/>
                      <w:szCs w:val="88"/>
                    </w:rPr>
                    <w:t xml:space="preserve">+4,0% </w:t>
                  </w:r>
                </w:p>
                <w:p w14:paraId="77307209" w14:textId="77777777" w:rsidR="0057329F" w:rsidRPr="00AA7127" w:rsidRDefault="0057329F" w:rsidP="0057329F">
                  <w:pPr>
                    <w:tabs>
                      <w:tab w:val="left" w:pos="0"/>
                      <w:tab w:val="left" w:pos="2575"/>
                    </w:tabs>
                    <w:autoSpaceDE w:val="0"/>
                    <w:autoSpaceDN w:val="0"/>
                    <w:adjustRightInd w:val="0"/>
                    <w:ind w:left="5" w:right="570" w:firstLine="709"/>
                    <w:rPr>
                      <w:rFonts w:ascii="Georgia" w:hAnsi="Georgia" w:cs="Arial"/>
                      <w:b/>
                      <w:bCs/>
                      <w:color w:val="244061" w:themeColor="accent1" w:themeShade="80"/>
                      <w:sz w:val="22"/>
                      <w:szCs w:val="22"/>
                    </w:rPr>
                  </w:pPr>
                </w:p>
                <w:p w14:paraId="1893B610" w14:textId="77777777" w:rsidR="0057329F" w:rsidRPr="00AA7127" w:rsidRDefault="0057329F" w:rsidP="0057329F">
                  <w:pPr>
                    <w:tabs>
                      <w:tab w:val="left" w:pos="851"/>
                      <w:tab w:val="left" w:pos="2575"/>
                    </w:tabs>
                    <w:autoSpaceDE w:val="0"/>
                    <w:autoSpaceDN w:val="0"/>
                    <w:adjustRightInd w:val="0"/>
                    <w:ind w:right="570"/>
                    <w:rPr>
                      <w:rFonts w:ascii="Georgia" w:hAnsi="Georgia" w:cs="Arial"/>
                      <w:b/>
                      <w:bCs/>
                      <w:color w:val="E42618"/>
                      <w:sz w:val="26"/>
                      <w:szCs w:val="26"/>
                    </w:rPr>
                  </w:pPr>
                  <w:r w:rsidRPr="00AA7127">
                    <w:rPr>
                      <w:rFonts w:ascii="Georgia" w:hAnsi="Georgia" w:cs="Arial"/>
                      <w:b/>
                      <w:bCs/>
                      <w:color w:val="E42618"/>
                      <w:sz w:val="26"/>
                      <w:szCs w:val="26"/>
                    </w:rPr>
                    <w:t>Aumentano nel 2018 le famiglie servite dal servizio di raccolta dei rifiuti “porta a porta”</w:t>
                  </w:r>
                </w:p>
                <w:p w14:paraId="75BC41C6" w14:textId="77777777" w:rsidR="0057329F" w:rsidRPr="00AA7127" w:rsidRDefault="0057329F" w:rsidP="0057329F">
                  <w:pPr>
                    <w:tabs>
                      <w:tab w:val="left" w:pos="851"/>
                      <w:tab w:val="left" w:pos="2575"/>
                    </w:tabs>
                    <w:autoSpaceDE w:val="0"/>
                    <w:autoSpaceDN w:val="0"/>
                    <w:adjustRightInd w:val="0"/>
                    <w:ind w:right="570"/>
                    <w:rPr>
                      <w:rFonts w:ascii="Georgia" w:hAnsi="Georgia" w:cs="Arial"/>
                      <w:b/>
                      <w:bCs/>
                      <w:color w:val="E42618"/>
                      <w:sz w:val="28"/>
                      <w:szCs w:val="28"/>
                    </w:rPr>
                  </w:pPr>
                </w:p>
                <w:p w14:paraId="52345173" w14:textId="77777777" w:rsidR="0057329F" w:rsidRPr="00AA7127" w:rsidRDefault="0057329F" w:rsidP="0057329F">
                  <w:pPr>
                    <w:pStyle w:val="Default"/>
                    <w:tabs>
                      <w:tab w:val="left" w:pos="567"/>
                    </w:tabs>
                    <w:spacing w:after="80"/>
                    <w:ind w:right="228"/>
                    <w:rPr>
                      <w:rFonts w:ascii="Georgia" w:hAnsi="Georgia" w:cs="Arial"/>
                      <w:bCs/>
                      <w:color w:val="244061" w:themeColor="accent1" w:themeShade="80"/>
                      <w:sz w:val="28"/>
                      <w:szCs w:val="28"/>
                    </w:rPr>
                  </w:pPr>
                  <w:r w:rsidRPr="00AA7127">
                    <w:rPr>
                      <w:rFonts w:ascii="Arial Narrow" w:hAnsi="Arial Narrow" w:cs="Arial"/>
                      <w:bCs/>
                      <w:color w:val="1F497D" w:themeColor="text2"/>
                    </w:rPr>
                    <w:t>Un quarto delle famiglie si dichiarano “molto soddisfatte” del servizio di raccolta “porta a porta”..</w:t>
                  </w:r>
                  <w:r w:rsidRPr="00AA7127">
                    <w:rPr>
                      <w:rFonts w:ascii="Georgia" w:hAnsi="Georgia" w:cs="Arial"/>
                      <w:bCs/>
                      <w:color w:val="244061" w:themeColor="accent1" w:themeShade="80"/>
                      <w:sz w:val="28"/>
                      <w:szCs w:val="28"/>
                    </w:rPr>
                    <w:t xml:space="preserve"> </w:t>
                  </w:r>
                </w:p>
              </w:tc>
            </w:tr>
          </w:tbl>
          <w:p w14:paraId="1206B3D3" w14:textId="77777777" w:rsidR="0057329F" w:rsidRPr="00AA7127" w:rsidRDefault="0057329F" w:rsidP="0057329F"/>
        </w:tc>
        <w:tc>
          <w:tcPr>
            <w:tcW w:w="3972" w:type="dxa"/>
            <w:shd w:val="clear" w:color="auto" w:fill="D9D9D9" w:themeFill="background1" w:themeFillShade="D9"/>
            <w:tcMar>
              <w:left w:w="284" w:type="dxa"/>
              <w:right w:w="284" w:type="dxa"/>
            </w:tcMar>
          </w:tcPr>
          <w:p w14:paraId="376D0E22" w14:textId="5F02FD28" w:rsidR="009B6557" w:rsidRPr="00593ED9" w:rsidRDefault="009B6557" w:rsidP="009B6557">
            <w:pPr>
              <w:tabs>
                <w:tab w:val="left" w:pos="851"/>
              </w:tabs>
              <w:autoSpaceDE w:val="0"/>
              <w:autoSpaceDN w:val="0"/>
              <w:adjustRightInd w:val="0"/>
              <w:ind w:right="422"/>
              <w:rPr>
                <w:rFonts w:ascii="Georgia" w:hAnsi="Georgia" w:cs="Arial"/>
                <w:bCs/>
                <w:color w:val="E42618"/>
                <w:sz w:val="88"/>
                <w:szCs w:val="88"/>
              </w:rPr>
            </w:pPr>
            <w:r>
              <w:rPr>
                <w:rFonts w:ascii="Georgia" w:hAnsi="Georgia" w:cs="Arial"/>
                <w:bCs/>
                <w:color w:val="E42618"/>
                <w:sz w:val="88"/>
                <w:szCs w:val="88"/>
              </w:rPr>
              <w:t>-</w:t>
            </w:r>
            <w:r w:rsidR="00DC0EA0" w:rsidRPr="008F73EB">
              <w:rPr>
                <w:rFonts w:ascii="Georgia" w:hAnsi="Georgia" w:cs="Arial"/>
                <w:bCs/>
                <w:color w:val="E42618"/>
                <w:sz w:val="88"/>
                <w:szCs w:val="88"/>
              </w:rPr>
              <w:t>3</w:t>
            </w:r>
            <w:r w:rsidRPr="008F73EB">
              <w:rPr>
                <w:rFonts w:ascii="Georgia" w:hAnsi="Georgia" w:cs="Arial"/>
                <w:bCs/>
                <w:color w:val="E42618"/>
                <w:sz w:val="88"/>
                <w:szCs w:val="88"/>
              </w:rPr>
              <w:t>,</w:t>
            </w:r>
            <w:r w:rsidR="00DC0EA0" w:rsidRPr="008F73EB">
              <w:rPr>
                <w:rFonts w:ascii="Georgia" w:hAnsi="Georgia" w:cs="Arial"/>
                <w:bCs/>
                <w:color w:val="E42618"/>
                <w:sz w:val="88"/>
                <w:szCs w:val="88"/>
              </w:rPr>
              <w:t>0</w:t>
            </w:r>
            <w:r w:rsidRPr="008F73EB">
              <w:rPr>
                <w:rFonts w:ascii="Georgia" w:hAnsi="Georgia" w:cs="Arial"/>
                <w:bCs/>
                <w:color w:val="E42618"/>
                <w:sz w:val="88"/>
                <w:szCs w:val="88"/>
              </w:rPr>
              <w:t>%</w:t>
            </w:r>
          </w:p>
          <w:p w14:paraId="6DC3FE4C" w14:textId="77777777" w:rsidR="009B6557" w:rsidRPr="00967CF5" w:rsidRDefault="009B6557" w:rsidP="009B6557">
            <w:pPr>
              <w:tabs>
                <w:tab w:val="left" w:pos="317"/>
                <w:tab w:val="left" w:pos="743"/>
              </w:tabs>
              <w:autoSpaceDE w:val="0"/>
              <w:autoSpaceDN w:val="0"/>
              <w:adjustRightInd w:val="0"/>
              <w:ind w:right="422"/>
              <w:rPr>
                <w:rFonts w:ascii="Georgia" w:hAnsi="Georgia" w:cs="Arial"/>
                <w:b/>
                <w:bCs/>
                <w:color w:val="1F497D"/>
                <w:sz w:val="26"/>
                <w:szCs w:val="26"/>
              </w:rPr>
            </w:pPr>
          </w:p>
          <w:p w14:paraId="12FFA28C" w14:textId="77777777" w:rsidR="009B6557" w:rsidRDefault="009B6557" w:rsidP="009B6557">
            <w:pPr>
              <w:tabs>
                <w:tab w:val="left" w:pos="194"/>
                <w:tab w:val="left" w:pos="743"/>
              </w:tabs>
              <w:autoSpaceDE w:val="0"/>
              <w:autoSpaceDN w:val="0"/>
              <w:adjustRightInd w:val="0"/>
              <w:rPr>
                <w:rFonts w:ascii="Arial Narrow" w:hAnsi="Arial Narrow" w:cs="Arial"/>
                <w:color w:val="1F497D"/>
                <w:sz w:val="26"/>
                <w:szCs w:val="26"/>
              </w:rPr>
            </w:pPr>
            <w:r w:rsidRPr="00BB39B6">
              <w:rPr>
                <w:rFonts w:ascii="Georgia" w:hAnsi="Georgia" w:cs="Arial"/>
                <w:b/>
                <w:bCs/>
                <w:color w:val="E42618"/>
                <w:sz w:val="26"/>
                <w:szCs w:val="26"/>
              </w:rPr>
              <w:t xml:space="preserve">La diminuzione del valore aggiunto dei beni e servizi ambientali </w:t>
            </w:r>
          </w:p>
          <w:p w14:paraId="740B8EED" w14:textId="77777777" w:rsidR="009B6557" w:rsidRDefault="009B6557" w:rsidP="009B6557">
            <w:pPr>
              <w:tabs>
                <w:tab w:val="left" w:pos="194"/>
                <w:tab w:val="left" w:pos="743"/>
              </w:tabs>
              <w:autoSpaceDE w:val="0"/>
              <w:autoSpaceDN w:val="0"/>
              <w:adjustRightInd w:val="0"/>
              <w:rPr>
                <w:rFonts w:ascii="Arial Narrow" w:hAnsi="Arial Narrow" w:cs="Arial"/>
                <w:color w:val="1F497D"/>
                <w:sz w:val="26"/>
                <w:szCs w:val="26"/>
              </w:rPr>
            </w:pPr>
          </w:p>
          <w:p w14:paraId="1ED33E37" w14:textId="77777777" w:rsidR="0097109A" w:rsidRDefault="0097109A">
            <w:pPr>
              <w:rPr>
                <w:rFonts w:ascii="Arial Narrow" w:hAnsi="Arial Narrow" w:cs="Arial"/>
                <w:bCs/>
                <w:color w:val="1F497D" w:themeColor="text2"/>
              </w:rPr>
            </w:pPr>
          </w:p>
          <w:p w14:paraId="0F5F9F40" w14:textId="3383C1C8" w:rsidR="0057329F" w:rsidRDefault="0097109A">
            <w:r>
              <w:rPr>
                <w:rFonts w:ascii="Arial Narrow" w:hAnsi="Arial Narrow" w:cs="Arial"/>
                <w:bCs/>
                <w:color w:val="1F497D" w:themeColor="text2"/>
              </w:rPr>
              <w:t>D</w:t>
            </w:r>
            <w:r w:rsidR="00261E57" w:rsidRPr="00BB39B6">
              <w:rPr>
                <w:rFonts w:ascii="Arial Narrow" w:hAnsi="Arial Narrow" w:cs="Arial"/>
                <w:bCs/>
                <w:color w:val="1F497D" w:themeColor="text2"/>
              </w:rPr>
              <w:t>al 2,3% al 2,5 %</w:t>
            </w:r>
            <w:r w:rsidR="00261E57">
              <w:rPr>
                <w:rFonts w:ascii="Arial Narrow" w:hAnsi="Arial Narrow" w:cs="Arial"/>
                <w:bCs/>
                <w:color w:val="1F497D" w:themeColor="text2"/>
              </w:rPr>
              <w:t xml:space="preserve"> l</w:t>
            </w:r>
            <w:r w:rsidR="009B6557" w:rsidRPr="00BB39B6">
              <w:rPr>
                <w:rFonts w:ascii="Arial Narrow" w:hAnsi="Arial Narrow" w:cs="Arial"/>
                <w:bCs/>
                <w:color w:val="1F497D" w:themeColor="text2"/>
              </w:rPr>
              <w:t>’inc</w:t>
            </w:r>
            <w:r w:rsidR="00261E57">
              <w:rPr>
                <w:rFonts w:ascii="Arial Narrow" w:hAnsi="Arial Narrow" w:cs="Arial"/>
                <w:bCs/>
                <w:color w:val="1F497D" w:themeColor="text2"/>
              </w:rPr>
              <w:t>idenza complessiva sul Pil</w:t>
            </w:r>
            <w:r w:rsidR="009B6557" w:rsidRPr="00BB39B6">
              <w:rPr>
                <w:rFonts w:ascii="Arial Narrow" w:hAnsi="Arial Narrow" w:cs="Arial"/>
                <w:bCs/>
                <w:color w:val="1F497D" w:themeColor="text2"/>
              </w:rPr>
              <w:t xml:space="preserve"> </w:t>
            </w:r>
          </w:p>
        </w:tc>
      </w:tr>
      <w:tr w:rsidR="007E6EAA" w14:paraId="01C7158E" w14:textId="77777777" w:rsidTr="004164AF">
        <w:trPr>
          <w:trHeight w:val="81"/>
        </w:trPr>
        <w:tc>
          <w:tcPr>
            <w:tcW w:w="12020" w:type="dxa"/>
            <w:gridSpan w:val="3"/>
            <w:shd w:val="clear" w:color="auto" w:fill="D9D9D9" w:themeFill="background1" w:themeFillShade="D9"/>
          </w:tcPr>
          <w:p w14:paraId="100743F7" w14:textId="6022CEB0" w:rsidR="007E6EAA" w:rsidRPr="000467F2" w:rsidRDefault="007E6EAA" w:rsidP="003A460A">
            <w:pPr>
              <w:tabs>
                <w:tab w:val="left" w:pos="4424"/>
              </w:tabs>
              <w:ind w:left="797"/>
              <w:rPr>
                <w:rFonts w:ascii="Georgia" w:hAnsi="Georgia" w:cs="Arial"/>
                <w:sz w:val="16"/>
                <w:szCs w:val="16"/>
              </w:rPr>
            </w:pPr>
          </w:p>
        </w:tc>
      </w:tr>
    </w:tbl>
    <w:p w14:paraId="4D928C40" w14:textId="77777777" w:rsidR="00C65721" w:rsidRPr="0058002A" w:rsidRDefault="00C65721" w:rsidP="000467F2">
      <w:pPr>
        <w:rPr>
          <w:rFonts w:ascii="Arial" w:hAnsi="Arial" w:cs="Arial"/>
          <w:iCs/>
          <w:noProof/>
          <w:color w:val="000000"/>
          <w:sz w:val="20"/>
          <w:szCs w:val="20"/>
        </w:rPr>
        <w:sectPr w:rsidR="00C65721" w:rsidRPr="0058002A" w:rsidSect="00123E17">
          <w:footerReference w:type="even" r:id="rId8"/>
          <w:footerReference w:type="default" r:id="rId9"/>
          <w:headerReference w:type="first" r:id="rId10"/>
          <w:footerReference w:type="first" r:id="rId11"/>
          <w:type w:val="continuous"/>
          <w:pgSz w:w="11906" w:h="16838"/>
          <w:pgMar w:top="567" w:right="851" w:bottom="680" w:left="851" w:header="0" w:footer="0" w:gutter="0"/>
          <w:pgNumType w:start="1"/>
          <w:cols w:space="708"/>
          <w:titlePg/>
          <w:docGrid w:linePitch="360"/>
        </w:sectPr>
      </w:pPr>
    </w:p>
    <w:p w14:paraId="7F10FED4" w14:textId="77777777" w:rsidR="00872BED" w:rsidRDefault="00872BED">
      <w:pPr>
        <w:spacing w:after="120"/>
        <w:jc w:val="both"/>
        <w:rPr>
          <w:rFonts w:ascii="Arial" w:hAnsi="Arial" w:cs="Arial"/>
          <w:sz w:val="22"/>
          <w:szCs w:val="22"/>
        </w:rPr>
      </w:pPr>
    </w:p>
    <w:p w14:paraId="0E88EFAA" w14:textId="39FAD4F3" w:rsidR="00D665F9" w:rsidRPr="008F73EB" w:rsidRDefault="004A0120">
      <w:pPr>
        <w:pStyle w:val="Titolo2"/>
        <w:rPr>
          <w:rFonts w:ascii="Arial" w:hAnsi="Arial" w:cs="Arial"/>
          <w:b/>
          <w:bCs w:val="0"/>
          <w:i w:val="0"/>
          <w:color w:val="1F497D" w:themeColor="text2"/>
          <w:sz w:val="26"/>
          <w:szCs w:val="26"/>
        </w:rPr>
      </w:pPr>
      <w:r w:rsidRPr="008F73EB">
        <w:rPr>
          <w:rFonts w:ascii="Arial" w:hAnsi="Arial" w:cs="Arial"/>
          <w:b/>
          <w:bCs w:val="0"/>
          <w:i w:val="0"/>
          <w:color w:val="1F497D" w:themeColor="text2"/>
          <w:sz w:val="26"/>
          <w:szCs w:val="26"/>
        </w:rPr>
        <w:t>Effetto della</w:t>
      </w:r>
      <w:r w:rsidR="00D665F9" w:rsidRPr="008F73EB">
        <w:rPr>
          <w:rFonts w:ascii="Arial" w:hAnsi="Arial" w:cs="Arial"/>
          <w:b/>
          <w:bCs w:val="0"/>
          <w:i w:val="0"/>
          <w:color w:val="1F497D" w:themeColor="text2"/>
          <w:sz w:val="26"/>
          <w:szCs w:val="26"/>
        </w:rPr>
        <w:t xml:space="preserve"> crisi pandemica </w:t>
      </w:r>
      <w:r w:rsidRPr="008F73EB">
        <w:rPr>
          <w:rFonts w:ascii="Arial" w:hAnsi="Arial" w:cs="Arial"/>
          <w:b/>
          <w:bCs w:val="0"/>
          <w:i w:val="0"/>
          <w:color w:val="1F497D" w:themeColor="text2"/>
          <w:sz w:val="26"/>
          <w:szCs w:val="26"/>
        </w:rPr>
        <w:t>la riduzione d</w:t>
      </w:r>
      <w:r w:rsidR="00566B7A" w:rsidRPr="008F73EB">
        <w:rPr>
          <w:rFonts w:ascii="Arial" w:hAnsi="Arial" w:cs="Arial"/>
          <w:b/>
          <w:bCs w:val="0"/>
          <w:i w:val="0"/>
          <w:color w:val="1F497D" w:themeColor="text2"/>
          <w:sz w:val="26"/>
          <w:szCs w:val="26"/>
        </w:rPr>
        <w:t xml:space="preserve">i </w:t>
      </w:r>
      <w:r w:rsidR="00D665F9" w:rsidRPr="008F73EB">
        <w:rPr>
          <w:rFonts w:ascii="Arial" w:hAnsi="Arial" w:cs="Arial"/>
          <w:b/>
          <w:bCs w:val="0"/>
          <w:i w:val="0"/>
          <w:color w:val="1F497D" w:themeColor="text2"/>
          <w:sz w:val="26"/>
          <w:szCs w:val="26"/>
        </w:rPr>
        <w:t>pressioni e fiscalità ambiental</w:t>
      </w:r>
      <w:r w:rsidR="009F7BF7" w:rsidRPr="008F73EB">
        <w:rPr>
          <w:rFonts w:ascii="Arial" w:hAnsi="Arial" w:cs="Arial"/>
          <w:b/>
          <w:bCs w:val="0"/>
          <w:i w:val="0"/>
          <w:color w:val="1F497D" w:themeColor="text2"/>
          <w:sz w:val="26"/>
          <w:szCs w:val="26"/>
        </w:rPr>
        <w:t>e</w:t>
      </w:r>
      <w:r w:rsidR="00D665F9" w:rsidRPr="008F73EB">
        <w:rPr>
          <w:rFonts w:ascii="Arial" w:hAnsi="Arial" w:cs="Arial"/>
          <w:b/>
          <w:bCs w:val="0"/>
          <w:i w:val="0"/>
          <w:color w:val="1F497D" w:themeColor="text2"/>
          <w:sz w:val="26"/>
          <w:szCs w:val="26"/>
        </w:rPr>
        <w:t xml:space="preserve"> </w:t>
      </w:r>
    </w:p>
    <w:p w14:paraId="365F06C1" w14:textId="16DF9084" w:rsidR="00D665F9" w:rsidRPr="008F73EB" w:rsidRDefault="00D665F9" w:rsidP="00566B7A">
      <w:pPr>
        <w:spacing w:after="120"/>
        <w:jc w:val="both"/>
        <w:rPr>
          <w:rFonts w:ascii="Arial" w:hAnsi="Arial" w:cs="Arial"/>
          <w:sz w:val="22"/>
          <w:szCs w:val="22"/>
        </w:rPr>
      </w:pPr>
      <w:r w:rsidRPr="008F73EB">
        <w:rPr>
          <w:rFonts w:ascii="Arial" w:hAnsi="Arial" w:cs="Arial"/>
          <w:sz w:val="22"/>
          <w:szCs w:val="22"/>
        </w:rPr>
        <w:t xml:space="preserve">Gli effetti della crisi pandemica del 2020 e le misure adottate per contrastarla possono essere letti in termini di dinamica delle relazioni tra economia e ambiente. Queste, descritte nei conti nazionali attraverso sistemi informativi “satellite”, sono relative sia alle pressioni dell’economia sull’ambiente, sia alle risposte della prima alle criticità </w:t>
      </w:r>
      <w:r w:rsidR="00566B7A" w:rsidRPr="008F73EB">
        <w:rPr>
          <w:rFonts w:ascii="Arial" w:hAnsi="Arial" w:cs="Arial"/>
          <w:sz w:val="22"/>
          <w:szCs w:val="22"/>
        </w:rPr>
        <w:t>ambientali</w:t>
      </w:r>
      <w:r w:rsidRPr="008F73EB">
        <w:rPr>
          <w:rFonts w:ascii="Arial" w:hAnsi="Arial" w:cs="Arial"/>
          <w:sz w:val="22"/>
          <w:szCs w:val="22"/>
        </w:rPr>
        <w:t xml:space="preserve">. </w:t>
      </w:r>
    </w:p>
    <w:p w14:paraId="57936C6A" w14:textId="44BA4B3B" w:rsidR="000A691D" w:rsidRPr="008F73EB" w:rsidRDefault="00D665F9" w:rsidP="00566B7A">
      <w:pPr>
        <w:spacing w:after="120"/>
        <w:jc w:val="both"/>
        <w:rPr>
          <w:rFonts w:ascii="Arial" w:hAnsi="Arial" w:cs="Arial"/>
          <w:sz w:val="22"/>
          <w:szCs w:val="22"/>
        </w:rPr>
      </w:pPr>
      <w:r w:rsidRPr="008F73EB">
        <w:rPr>
          <w:rFonts w:ascii="Arial" w:hAnsi="Arial" w:cs="Arial"/>
          <w:sz w:val="22"/>
          <w:szCs w:val="22"/>
        </w:rPr>
        <w:t>Nel 2020 i principali indicatori delle pressioni derivati dai conti satellite ambientali sono diminuiti</w:t>
      </w:r>
      <w:r w:rsidR="007A682F" w:rsidRPr="008F73EB">
        <w:rPr>
          <w:rFonts w:ascii="Arial" w:hAnsi="Arial" w:cs="Arial"/>
          <w:sz w:val="22"/>
          <w:szCs w:val="22"/>
        </w:rPr>
        <w:t>,</w:t>
      </w:r>
      <w:r w:rsidRPr="008F73EB">
        <w:rPr>
          <w:rFonts w:ascii="Arial" w:hAnsi="Arial" w:cs="Arial"/>
          <w:sz w:val="22"/>
          <w:szCs w:val="22"/>
        </w:rPr>
        <w:t xml:space="preserve"> </w:t>
      </w:r>
      <w:r w:rsidR="000A691D" w:rsidRPr="008F73EB">
        <w:rPr>
          <w:rFonts w:ascii="Arial" w:hAnsi="Arial" w:cs="Arial"/>
          <w:sz w:val="22"/>
          <w:szCs w:val="22"/>
        </w:rPr>
        <w:t>dal 2019</w:t>
      </w:r>
      <w:r w:rsidR="007A682F" w:rsidRPr="008F73EB">
        <w:rPr>
          <w:rFonts w:ascii="Arial" w:hAnsi="Arial" w:cs="Arial"/>
          <w:sz w:val="22"/>
          <w:szCs w:val="22"/>
        </w:rPr>
        <w:t>,</w:t>
      </w:r>
      <w:r w:rsidRPr="008F73EB">
        <w:rPr>
          <w:rFonts w:ascii="Arial" w:hAnsi="Arial" w:cs="Arial"/>
          <w:sz w:val="22"/>
          <w:szCs w:val="22"/>
        </w:rPr>
        <w:t xml:space="preserve"> con ordini di grandezza paragonabili a quelli della contrazione dell’attività produttiva (misurata da una riduzione in volume del Pil del 9%). </w:t>
      </w:r>
    </w:p>
    <w:p w14:paraId="7692E437" w14:textId="59D8F8C0" w:rsidR="00D665F9" w:rsidRPr="008F73EB" w:rsidRDefault="00AB595E" w:rsidP="009578BC">
      <w:pPr>
        <w:spacing w:after="120"/>
        <w:jc w:val="both"/>
        <w:rPr>
          <w:rFonts w:ascii="Arial" w:hAnsi="Arial" w:cs="Arial"/>
          <w:bCs/>
          <w:sz w:val="22"/>
          <w:szCs w:val="22"/>
        </w:rPr>
      </w:pPr>
      <w:r>
        <w:rPr>
          <w:rFonts w:ascii="Arial" w:hAnsi="Arial" w:cs="Arial"/>
          <w:sz w:val="22"/>
          <w:szCs w:val="22"/>
        </w:rPr>
        <w:t>La dinamica del Consumo di e</w:t>
      </w:r>
      <w:r w:rsidR="00D665F9" w:rsidRPr="008F73EB">
        <w:rPr>
          <w:rFonts w:ascii="Arial" w:hAnsi="Arial" w:cs="Arial"/>
          <w:sz w:val="22"/>
          <w:szCs w:val="22"/>
        </w:rPr>
        <w:t xml:space="preserve">nergia delle unità residenti, </w:t>
      </w:r>
      <w:r w:rsidR="000A691D" w:rsidRPr="008F73EB">
        <w:rPr>
          <w:rFonts w:ascii="Arial" w:hAnsi="Arial" w:cs="Arial"/>
          <w:sz w:val="22"/>
          <w:szCs w:val="22"/>
        </w:rPr>
        <w:t xml:space="preserve">in calo </w:t>
      </w:r>
      <w:r w:rsidR="00D665F9" w:rsidRPr="008F73EB">
        <w:rPr>
          <w:rFonts w:ascii="Arial" w:hAnsi="Arial" w:cs="Arial"/>
          <w:sz w:val="22"/>
          <w:szCs w:val="22"/>
        </w:rPr>
        <w:t xml:space="preserve">dell’8,8% per effetto soprattutto della riduzione dei consumi delle attività produttive, è risultata in linea con la contrazione del Pil. È invece risultata più accentuata la </w:t>
      </w:r>
      <w:r w:rsidR="0097109A" w:rsidRPr="008F73EB">
        <w:rPr>
          <w:rFonts w:ascii="Arial" w:hAnsi="Arial" w:cs="Arial"/>
          <w:sz w:val="22"/>
          <w:szCs w:val="22"/>
        </w:rPr>
        <w:t>riduzione</w:t>
      </w:r>
      <w:r w:rsidR="00D665F9" w:rsidRPr="008F73EB">
        <w:rPr>
          <w:rFonts w:ascii="Arial" w:hAnsi="Arial" w:cs="Arial"/>
          <w:sz w:val="22"/>
          <w:szCs w:val="22"/>
        </w:rPr>
        <w:t xml:space="preserve"> delle </w:t>
      </w:r>
      <w:r w:rsidR="008D267D" w:rsidRPr="008F73EB">
        <w:rPr>
          <w:rFonts w:ascii="Arial" w:hAnsi="Arial" w:cs="Arial"/>
          <w:sz w:val="22"/>
          <w:szCs w:val="22"/>
        </w:rPr>
        <w:t xml:space="preserve">emissioni di gas climalteranti </w:t>
      </w:r>
      <w:r w:rsidR="00D665F9" w:rsidRPr="008F73EB">
        <w:rPr>
          <w:rFonts w:ascii="Arial" w:hAnsi="Arial" w:cs="Arial"/>
          <w:sz w:val="22"/>
          <w:szCs w:val="22"/>
        </w:rPr>
        <w:t>in atmosfera da attività produttive e famiglie italiane</w:t>
      </w:r>
      <w:r w:rsidR="000A691D" w:rsidRPr="008F73EB">
        <w:rPr>
          <w:rFonts w:ascii="Arial" w:hAnsi="Arial" w:cs="Arial"/>
          <w:sz w:val="22"/>
          <w:szCs w:val="22"/>
        </w:rPr>
        <w:t xml:space="preserve"> (</w:t>
      </w:r>
      <w:r w:rsidR="00D665F9" w:rsidRPr="008F73EB">
        <w:rPr>
          <w:rFonts w:ascii="Arial" w:hAnsi="Arial" w:cs="Arial"/>
          <w:sz w:val="22"/>
          <w:szCs w:val="22"/>
        </w:rPr>
        <w:t>-10,2%</w:t>
      </w:r>
      <w:r w:rsidR="000A691D" w:rsidRPr="008F73EB">
        <w:rPr>
          <w:rFonts w:ascii="Arial" w:hAnsi="Arial" w:cs="Arial"/>
          <w:sz w:val="22"/>
          <w:szCs w:val="22"/>
        </w:rPr>
        <w:t>)</w:t>
      </w:r>
      <w:r w:rsidR="00D665F9" w:rsidRPr="008F73EB">
        <w:rPr>
          <w:rFonts w:ascii="Arial" w:hAnsi="Arial" w:cs="Arial"/>
          <w:sz w:val="22"/>
          <w:szCs w:val="22"/>
        </w:rPr>
        <w:t>.</w:t>
      </w:r>
      <w:r w:rsidR="0097109A" w:rsidRPr="008F73EB">
        <w:rPr>
          <w:rFonts w:ascii="Arial" w:hAnsi="Arial" w:cs="Arial"/>
          <w:sz w:val="22"/>
          <w:szCs w:val="22"/>
        </w:rPr>
        <w:t xml:space="preserve"> </w:t>
      </w:r>
      <w:r w:rsidR="0063609A" w:rsidRPr="008F73EB">
        <w:rPr>
          <w:rFonts w:ascii="Arial" w:hAnsi="Arial" w:cs="Arial"/>
          <w:sz w:val="22"/>
          <w:szCs w:val="22"/>
        </w:rPr>
        <w:t xml:space="preserve">Diminuisce in </w:t>
      </w:r>
      <w:r w:rsidR="0097109A" w:rsidRPr="008F73EB">
        <w:rPr>
          <w:rFonts w:ascii="Arial" w:hAnsi="Arial" w:cs="Arial"/>
          <w:sz w:val="22"/>
          <w:szCs w:val="22"/>
        </w:rPr>
        <w:t>misura</w:t>
      </w:r>
      <w:r w:rsidR="0063609A" w:rsidRPr="008F73EB">
        <w:rPr>
          <w:rFonts w:ascii="Arial" w:hAnsi="Arial" w:cs="Arial"/>
          <w:sz w:val="22"/>
          <w:szCs w:val="22"/>
        </w:rPr>
        <w:t xml:space="preserve"> p</w:t>
      </w:r>
      <w:r w:rsidR="00D665F9" w:rsidRPr="008F73EB">
        <w:rPr>
          <w:rFonts w:ascii="Arial" w:hAnsi="Arial" w:cs="Arial"/>
          <w:sz w:val="22"/>
          <w:szCs w:val="22"/>
        </w:rPr>
        <w:t>iù contenut</w:t>
      </w:r>
      <w:r w:rsidR="0097109A" w:rsidRPr="008F73EB">
        <w:rPr>
          <w:rFonts w:ascii="Arial" w:hAnsi="Arial" w:cs="Arial"/>
          <w:sz w:val="22"/>
          <w:szCs w:val="22"/>
        </w:rPr>
        <w:t>a</w:t>
      </w:r>
      <w:r w:rsidR="00D665F9" w:rsidRPr="008F73EB">
        <w:rPr>
          <w:rFonts w:ascii="Arial" w:hAnsi="Arial" w:cs="Arial"/>
          <w:sz w:val="22"/>
          <w:szCs w:val="22"/>
        </w:rPr>
        <w:t xml:space="preserve"> il Consumo </w:t>
      </w:r>
      <w:r w:rsidRPr="008F73EB">
        <w:rPr>
          <w:rFonts w:ascii="Arial" w:hAnsi="Arial" w:cs="Arial"/>
          <w:sz w:val="22"/>
          <w:szCs w:val="22"/>
        </w:rPr>
        <w:t xml:space="preserve">materiale interno </w:t>
      </w:r>
      <w:r w:rsidR="0063609A" w:rsidRPr="008F73EB">
        <w:rPr>
          <w:rFonts w:ascii="Arial" w:hAnsi="Arial" w:cs="Arial"/>
          <w:sz w:val="22"/>
          <w:szCs w:val="22"/>
        </w:rPr>
        <w:t>(-</w:t>
      </w:r>
      <w:r w:rsidR="00D665F9" w:rsidRPr="008F73EB">
        <w:rPr>
          <w:rFonts w:ascii="Arial" w:hAnsi="Arial" w:cs="Arial"/>
          <w:sz w:val="22"/>
          <w:szCs w:val="22"/>
        </w:rPr>
        <w:t>7,7% circa</w:t>
      </w:r>
      <w:r w:rsidR="0063609A" w:rsidRPr="008F73EB">
        <w:rPr>
          <w:rFonts w:ascii="Arial" w:hAnsi="Arial" w:cs="Arial"/>
          <w:sz w:val="22"/>
          <w:szCs w:val="22"/>
        </w:rPr>
        <w:t>)</w:t>
      </w:r>
      <w:r w:rsidR="00D665F9" w:rsidRPr="008F73EB">
        <w:rPr>
          <w:rFonts w:ascii="Arial" w:hAnsi="Arial" w:cs="Arial"/>
          <w:bCs/>
          <w:sz w:val="22"/>
          <w:szCs w:val="22"/>
        </w:rPr>
        <w:t xml:space="preserve"> con il conseguente incremento dell’intensità d’uso di materia per unità di Pil. </w:t>
      </w:r>
    </w:p>
    <w:p w14:paraId="70D6A0C9" w14:textId="77777777" w:rsidR="0063609A" w:rsidRPr="008F73EB" w:rsidRDefault="00D665F9" w:rsidP="009578BC">
      <w:pPr>
        <w:spacing w:after="120"/>
        <w:jc w:val="both"/>
        <w:rPr>
          <w:rFonts w:ascii="Arial" w:hAnsi="Arial" w:cs="Arial"/>
          <w:sz w:val="22"/>
          <w:szCs w:val="22"/>
        </w:rPr>
      </w:pPr>
      <w:r w:rsidRPr="008F73EB">
        <w:rPr>
          <w:rFonts w:ascii="Arial" w:hAnsi="Arial" w:cs="Arial"/>
          <w:sz w:val="22"/>
          <w:szCs w:val="22"/>
        </w:rPr>
        <w:t xml:space="preserve">La dinamica delle pressioni per l’economia nel suo complesso è accompagnata da asimmetrie settoriali (osservabili per energia e emissioni). </w:t>
      </w:r>
    </w:p>
    <w:p w14:paraId="7C4A0478" w14:textId="007DDD65" w:rsidR="00D665F9" w:rsidRPr="008F73EB" w:rsidRDefault="00D665F9" w:rsidP="009578BC">
      <w:pPr>
        <w:spacing w:after="120"/>
        <w:jc w:val="both"/>
        <w:rPr>
          <w:rFonts w:ascii="Arial" w:hAnsi="Arial" w:cs="Arial"/>
          <w:sz w:val="22"/>
          <w:szCs w:val="22"/>
        </w:rPr>
      </w:pPr>
      <w:r w:rsidRPr="008F73EB">
        <w:rPr>
          <w:rFonts w:ascii="Arial" w:hAnsi="Arial" w:cs="Arial"/>
          <w:sz w:val="22"/>
          <w:szCs w:val="22"/>
        </w:rPr>
        <w:t xml:space="preserve">Il settore dei Servizi, che nel complesso registra la maggiore flessione in termini sia di </w:t>
      </w:r>
      <w:r w:rsidR="003E1676">
        <w:rPr>
          <w:rFonts w:ascii="Arial" w:hAnsi="Arial" w:cs="Arial"/>
          <w:sz w:val="22"/>
          <w:szCs w:val="22"/>
        </w:rPr>
        <w:t>Consumo d</w:t>
      </w:r>
      <w:r w:rsidR="00AB595E">
        <w:rPr>
          <w:rFonts w:ascii="Arial" w:hAnsi="Arial" w:cs="Arial"/>
          <w:sz w:val="22"/>
          <w:szCs w:val="22"/>
        </w:rPr>
        <w:t>i e</w:t>
      </w:r>
      <w:r w:rsidR="003E1676" w:rsidRPr="008F73EB">
        <w:rPr>
          <w:rFonts w:ascii="Arial" w:hAnsi="Arial" w:cs="Arial"/>
          <w:sz w:val="22"/>
          <w:szCs w:val="22"/>
        </w:rPr>
        <w:t>nergia</w:t>
      </w:r>
      <w:r w:rsidR="0097109A" w:rsidRPr="008F73EB">
        <w:rPr>
          <w:rFonts w:ascii="Arial" w:hAnsi="Arial" w:cs="Arial"/>
          <w:sz w:val="22"/>
          <w:szCs w:val="22"/>
        </w:rPr>
        <w:t xml:space="preserve"> (-13,2)</w:t>
      </w:r>
      <w:r w:rsidRPr="008F73EB">
        <w:rPr>
          <w:rFonts w:ascii="Arial" w:hAnsi="Arial" w:cs="Arial"/>
          <w:sz w:val="22"/>
          <w:szCs w:val="22"/>
        </w:rPr>
        <w:t xml:space="preserve"> sia di emissioni </w:t>
      </w:r>
      <w:r w:rsidR="0097109A" w:rsidRPr="008F73EB">
        <w:rPr>
          <w:rFonts w:ascii="Arial" w:hAnsi="Arial" w:cs="Arial"/>
          <w:sz w:val="22"/>
          <w:szCs w:val="22"/>
        </w:rPr>
        <w:t>(</w:t>
      </w:r>
      <w:r w:rsidRPr="008F73EB">
        <w:rPr>
          <w:rFonts w:ascii="Arial" w:hAnsi="Arial" w:cs="Arial"/>
          <w:sz w:val="22"/>
          <w:szCs w:val="22"/>
        </w:rPr>
        <w:t>-16,5%), comprende</w:t>
      </w:r>
      <w:r w:rsidR="0063609A" w:rsidRPr="008F73EB">
        <w:rPr>
          <w:rFonts w:ascii="Arial" w:hAnsi="Arial" w:cs="Arial"/>
          <w:sz w:val="22"/>
          <w:szCs w:val="22"/>
        </w:rPr>
        <w:t>,</w:t>
      </w:r>
      <w:r w:rsidRPr="008F73EB">
        <w:rPr>
          <w:rFonts w:ascii="Arial" w:hAnsi="Arial" w:cs="Arial"/>
          <w:sz w:val="22"/>
          <w:szCs w:val="22"/>
        </w:rPr>
        <w:t xml:space="preserve"> da un lato</w:t>
      </w:r>
      <w:r w:rsidR="0063609A" w:rsidRPr="008F73EB">
        <w:rPr>
          <w:rFonts w:ascii="Arial" w:hAnsi="Arial" w:cs="Arial"/>
          <w:sz w:val="22"/>
          <w:szCs w:val="22"/>
        </w:rPr>
        <w:t>,</w:t>
      </w:r>
      <w:r w:rsidRPr="008F73EB">
        <w:rPr>
          <w:rFonts w:ascii="Arial" w:hAnsi="Arial" w:cs="Arial"/>
          <w:sz w:val="22"/>
          <w:szCs w:val="22"/>
        </w:rPr>
        <w:t xml:space="preserve"> le attività con le </w:t>
      </w:r>
      <w:r w:rsidR="0063609A" w:rsidRPr="008F73EB">
        <w:rPr>
          <w:rFonts w:ascii="Arial" w:hAnsi="Arial" w:cs="Arial"/>
          <w:sz w:val="22"/>
          <w:szCs w:val="22"/>
        </w:rPr>
        <w:t>contra</w:t>
      </w:r>
      <w:r w:rsidRPr="008F73EB">
        <w:rPr>
          <w:rFonts w:ascii="Arial" w:hAnsi="Arial" w:cs="Arial"/>
          <w:sz w:val="22"/>
          <w:szCs w:val="22"/>
        </w:rPr>
        <w:t>zioni maggiori come il Trasporto aereo (con oltre il 60</w:t>
      </w:r>
      <w:r w:rsidR="0063609A" w:rsidRPr="008F73EB">
        <w:rPr>
          <w:rFonts w:ascii="Arial" w:hAnsi="Arial" w:cs="Arial"/>
          <w:sz w:val="22"/>
          <w:szCs w:val="22"/>
        </w:rPr>
        <w:t>%</w:t>
      </w:r>
      <w:r w:rsidRPr="008F73EB">
        <w:rPr>
          <w:rFonts w:ascii="Arial" w:hAnsi="Arial" w:cs="Arial"/>
          <w:sz w:val="22"/>
          <w:szCs w:val="22"/>
        </w:rPr>
        <w:t xml:space="preserve"> di riduzione sia per i consumi energetici sia per le emissioni), dall’altro</w:t>
      </w:r>
      <w:r w:rsidR="0063609A" w:rsidRPr="008F73EB">
        <w:rPr>
          <w:rFonts w:ascii="Arial" w:hAnsi="Arial" w:cs="Arial"/>
          <w:sz w:val="22"/>
          <w:szCs w:val="22"/>
        </w:rPr>
        <w:t>,</w:t>
      </w:r>
      <w:r w:rsidRPr="008F73EB">
        <w:rPr>
          <w:rFonts w:ascii="Arial" w:hAnsi="Arial" w:cs="Arial"/>
          <w:sz w:val="22"/>
          <w:szCs w:val="22"/>
        </w:rPr>
        <w:t xml:space="preserve"> quelle per le quali si è osservato un aumento, come Sanità e</w:t>
      </w:r>
      <w:r w:rsidR="00AB595E">
        <w:rPr>
          <w:rFonts w:ascii="Arial" w:hAnsi="Arial" w:cs="Arial"/>
          <w:sz w:val="22"/>
          <w:szCs w:val="22"/>
        </w:rPr>
        <w:t xml:space="preserve"> assistenza sociale e Pubblica a</w:t>
      </w:r>
      <w:r w:rsidRPr="008F73EB">
        <w:rPr>
          <w:rFonts w:ascii="Arial" w:hAnsi="Arial" w:cs="Arial"/>
          <w:sz w:val="22"/>
          <w:szCs w:val="22"/>
        </w:rPr>
        <w:t>mministrazione (rispettivamente del 16,0% e del 9,9% per i consumi di energia e del 13,5 e 20,2% per le emissioni).</w:t>
      </w:r>
    </w:p>
    <w:p w14:paraId="35AAFC11" w14:textId="2A6956C6" w:rsidR="0063609A" w:rsidRPr="008F73EB" w:rsidRDefault="00D665F9">
      <w:pPr>
        <w:spacing w:after="120"/>
        <w:ind w:right="57"/>
        <w:jc w:val="both"/>
        <w:rPr>
          <w:rFonts w:ascii="Arial" w:hAnsi="Arial" w:cs="Arial"/>
          <w:sz w:val="22"/>
          <w:szCs w:val="22"/>
        </w:rPr>
      </w:pPr>
      <w:r w:rsidRPr="008F73EB">
        <w:rPr>
          <w:rFonts w:ascii="Arial" w:hAnsi="Arial" w:cs="Arial"/>
          <w:sz w:val="22"/>
          <w:szCs w:val="22"/>
        </w:rPr>
        <w:t xml:space="preserve">La contrazione </w:t>
      </w:r>
      <w:r w:rsidR="0063609A" w:rsidRPr="008F73EB">
        <w:rPr>
          <w:rFonts w:ascii="Arial" w:hAnsi="Arial" w:cs="Arial"/>
          <w:sz w:val="22"/>
          <w:szCs w:val="22"/>
        </w:rPr>
        <w:t>d</w:t>
      </w:r>
      <w:r w:rsidRPr="008F73EB">
        <w:rPr>
          <w:rFonts w:ascii="Arial" w:hAnsi="Arial" w:cs="Arial"/>
          <w:sz w:val="22"/>
          <w:szCs w:val="22"/>
        </w:rPr>
        <w:t xml:space="preserve">ei consumi di prodotti energetici </w:t>
      </w:r>
      <w:r w:rsidR="007A682F" w:rsidRPr="008F73EB">
        <w:rPr>
          <w:rFonts w:ascii="Arial" w:hAnsi="Arial" w:cs="Arial"/>
          <w:sz w:val="22"/>
          <w:szCs w:val="22"/>
        </w:rPr>
        <w:t>si è riversata sul</w:t>
      </w:r>
      <w:r w:rsidRPr="008F73EB">
        <w:rPr>
          <w:rFonts w:ascii="Arial" w:hAnsi="Arial" w:cs="Arial"/>
          <w:sz w:val="22"/>
          <w:szCs w:val="22"/>
        </w:rPr>
        <w:t xml:space="preserve"> gettito delle imposte pagate da imprese e famiglie per il loro uso</w:t>
      </w:r>
      <w:r w:rsidR="007A682F" w:rsidRPr="008F73EB">
        <w:rPr>
          <w:rFonts w:ascii="Arial" w:hAnsi="Arial" w:cs="Arial"/>
          <w:sz w:val="22"/>
          <w:szCs w:val="22"/>
        </w:rPr>
        <w:t xml:space="preserve"> (</w:t>
      </w:r>
      <w:r w:rsidRPr="008F73EB">
        <w:rPr>
          <w:rFonts w:ascii="Arial" w:hAnsi="Arial" w:cs="Arial"/>
          <w:sz w:val="22"/>
          <w:szCs w:val="22"/>
        </w:rPr>
        <w:t xml:space="preserve">principale determinante del calo del gettito complessivo </w:t>
      </w:r>
      <w:r w:rsidR="007A682F" w:rsidRPr="008F73EB">
        <w:rPr>
          <w:rFonts w:ascii="Arial" w:hAnsi="Arial" w:cs="Arial"/>
          <w:sz w:val="22"/>
          <w:szCs w:val="22"/>
        </w:rPr>
        <w:t xml:space="preserve">derivante </w:t>
      </w:r>
      <w:r w:rsidR="0063609A" w:rsidRPr="008F73EB">
        <w:rPr>
          <w:rFonts w:ascii="Arial" w:hAnsi="Arial" w:cs="Arial"/>
          <w:sz w:val="22"/>
          <w:szCs w:val="22"/>
        </w:rPr>
        <w:t>da</w:t>
      </w:r>
      <w:r w:rsidRPr="008F73EB">
        <w:rPr>
          <w:rFonts w:ascii="Arial" w:hAnsi="Arial" w:cs="Arial"/>
          <w:sz w:val="22"/>
          <w:szCs w:val="22"/>
        </w:rPr>
        <w:t xml:space="preserve"> fiscalità ambientale</w:t>
      </w:r>
      <w:r w:rsidR="007A682F" w:rsidRPr="008F73EB">
        <w:rPr>
          <w:rFonts w:ascii="Arial" w:hAnsi="Arial" w:cs="Arial"/>
          <w:sz w:val="22"/>
          <w:szCs w:val="22"/>
        </w:rPr>
        <w:t xml:space="preserve">, </w:t>
      </w:r>
      <w:r w:rsidRPr="008F73EB">
        <w:rPr>
          <w:rFonts w:ascii="Arial" w:hAnsi="Arial" w:cs="Arial"/>
          <w:sz w:val="22"/>
          <w:szCs w:val="22"/>
        </w:rPr>
        <w:t xml:space="preserve">-13,5%), </w:t>
      </w:r>
      <w:r w:rsidR="0063609A" w:rsidRPr="008F73EB">
        <w:rPr>
          <w:rFonts w:ascii="Arial" w:hAnsi="Arial" w:cs="Arial"/>
          <w:sz w:val="22"/>
          <w:szCs w:val="22"/>
        </w:rPr>
        <w:t xml:space="preserve">che rappresenta </w:t>
      </w:r>
      <w:r w:rsidRPr="008F73EB">
        <w:rPr>
          <w:rFonts w:ascii="Arial" w:hAnsi="Arial" w:cs="Arial"/>
          <w:sz w:val="22"/>
          <w:szCs w:val="22"/>
        </w:rPr>
        <w:t>uno dei principali indicatori delle risposte che il sistema economico attiva per la protezione ambientale o la gestione delle risorse naturali.</w:t>
      </w:r>
    </w:p>
    <w:p w14:paraId="0B13D512" w14:textId="09B41D38" w:rsidR="00872BED" w:rsidRPr="00D31901" w:rsidRDefault="00D665F9">
      <w:pPr>
        <w:spacing w:after="120"/>
        <w:ind w:right="57"/>
        <w:jc w:val="both"/>
        <w:rPr>
          <w:rFonts w:ascii="Arial" w:hAnsi="Arial" w:cs="Arial"/>
          <w:sz w:val="22"/>
          <w:szCs w:val="22"/>
        </w:rPr>
      </w:pPr>
      <w:r w:rsidRPr="008F73EB">
        <w:rPr>
          <w:rFonts w:ascii="Arial" w:hAnsi="Arial" w:cs="Arial"/>
          <w:sz w:val="22"/>
          <w:szCs w:val="22"/>
        </w:rPr>
        <w:t xml:space="preserve">In flessione anche il valore aggiunto generato dal settore dei beni e servizi a finalità ambientale, che diminuisce del </w:t>
      </w:r>
      <w:r w:rsidR="009578BC" w:rsidRPr="008F73EB">
        <w:rPr>
          <w:rFonts w:ascii="Arial" w:hAnsi="Arial" w:cs="Arial"/>
          <w:sz w:val="22"/>
          <w:szCs w:val="22"/>
        </w:rPr>
        <w:t>3</w:t>
      </w:r>
      <w:r w:rsidRPr="008F73EB">
        <w:rPr>
          <w:rFonts w:ascii="Arial" w:hAnsi="Arial" w:cs="Arial"/>
          <w:sz w:val="22"/>
          <w:szCs w:val="22"/>
        </w:rPr>
        <w:t>,</w:t>
      </w:r>
      <w:r w:rsidR="009578BC" w:rsidRPr="008F73EB">
        <w:rPr>
          <w:rFonts w:ascii="Arial" w:hAnsi="Arial" w:cs="Arial"/>
          <w:sz w:val="22"/>
          <w:szCs w:val="22"/>
        </w:rPr>
        <w:t>0</w:t>
      </w:r>
      <w:r w:rsidRPr="008F73EB">
        <w:rPr>
          <w:rFonts w:ascii="Arial" w:hAnsi="Arial" w:cs="Arial"/>
          <w:sz w:val="22"/>
          <w:szCs w:val="22"/>
        </w:rPr>
        <w:t xml:space="preserve">% (a prezzi correnti), ma cresce in termini di incidenza sul Pil (dal 2,3% del 2019 al 2,5% nel 2020). </w:t>
      </w:r>
      <w:r w:rsidR="009578BC" w:rsidRPr="008F73EB">
        <w:rPr>
          <w:rFonts w:ascii="Arial" w:hAnsi="Arial" w:cs="Arial"/>
          <w:sz w:val="22"/>
          <w:szCs w:val="22"/>
        </w:rPr>
        <w:t>S</w:t>
      </w:r>
      <w:r w:rsidRPr="008F73EB">
        <w:rPr>
          <w:rFonts w:ascii="Arial" w:hAnsi="Arial" w:cs="Arial"/>
          <w:sz w:val="22"/>
          <w:szCs w:val="22"/>
        </w:rPr>
        <w:t xml:space="preserve">tabili </w:t>
      </w:r>
      <w:r w:rsidR="009578BC" w:rsidRPr="008F73EB">
        <w:rPr>
          <w:rFonts w:ascii="Arial" w:hAnsi="Arial" w:cs="Arial"/>
          <w:sz w:val="22"/>
          <w:szCs w:val="22"/>
        </w:rPr>
        <w:t>(-0,02%</w:t>
      </w:r>
      <w:r w:rsidR="009578BC" w:rsidRPr="008F73EB">
        <w:t>)</w:t>
      </w:r>
      <w:r w:rsidRPr="008F73EB">
        <w:rPr>
          <w:rFonts w:ascii="Arial" w:hAnsi="Arial" w:cs="Arial"/>
          <w:sz w:val="22"/>
          <w:szCs w:val="22"/>
        </w:rPr>
        <w:t xml:space="preserve"> le risorse spese per la tutela dell’ambiente da famig</w:t>
      </w:r>
      <w:r w:rsidR="003F3779">
        <w:rPr>
          <w:rFonts w:ascii="Arial" w:hAnsi="Arial" w:cs="Arial"/>
          <w:sz w:val="22"/>
          <w:szCs w:val="22"/>
        </w:rPr>
        <w:t>lie, imprese e Amministrazioni p</w:t>
      </w:r>
      <w:r w:rsidRPr="008F73EB">
        <w:rPr>
          <w:rFonts w:ascii="Arial" w:hAnsi="Arial" w:cs="Arial"/>
          <w:sz w:val="22"/>
          <w:szCs w:val="22"/>
        </w:rPr>
        <w:t>ubbliche</w:t>
      </w:r>
      <w:r w:rsidR="007A682F" w:rsidRPr="008F73EB">
        <w:rPr>
          <w:rFonts w:ascii="Arial" w:hAnsi="Arial" w:cs="Arial"/>
          <w:sz w:val="22"/>
          <w:szCs w:val="22"/>
        </w:rPr>
        <w:t>. L</w:t>
      </w:r>
      <w:r w:rsidRPr="008F73EB">
        <w:rPr>
          <w:rFonts w:ascii="Arial" w:hAnsi="Arial" w:cs="Arial"/>
          <w:sz w:val="22"/>
          <w:szCs w:val="22"/>
        </w:rPr>
        <w:t>’incidenza della spesa ambientale sul Pil aumenta al 2,6% dal 2,4% dell’anno precedente.</w:t>
      </w:r>
    </w:p>
    <w:p w14:paraId="604A1762" w14:textId="156FFDD8" w:rsidR="00872BED" w:rsidRPr="00D31901" w:rsidRDefault="00872BED">
      <w:pPr>
        <w:spacing w:after="120"/>
        <w:ind w:right="57"/>
        <w:jc w:val="both"/>
        <w:rPr>
          <w:rFonts w:ascii="Arial" w:hAnsi="Arial" w:cs="Arial"/>
          <w:sz w:val="22"/>
          <w:szCs w:val="22"/>
        </w:rPr>
      </w:pPr>
    </w:p>
    <w:p w14:paraId="046A08E3" w14:textId="72E38F87" w:rsidR="00872BED" w:rsidRPr="00D31901" w:rsidRDefault="00872BED">
      <w:pPr>
        <w:spacing w:after="120"/>
        <w:ind w:right="57"/>
        <w:jc w:val="both"/>
        <w:rPr>
          <w:rFonts w:ascii="Arial" w:hAnsi="Arial" w:cs="Arial"/>
          <w:sz w:val="22"/>
          <w:szCs w:val="22"/>
        </w:rPr>
      </w:pPr>
    </w:p>
    <w:p w14:paraId="0D92E0D5" w14:textId="7CF12221" w:rsidR="00F234A5" w:rsidRDefault="00F234A5">
      <w:pPr>
        <w:spacing w:after="120"/>
        <w:ind w:right="57"/>
        <w:jc w:val="both"/>
        <w:rPr>
          <w:rFonts w:ascii="Arial" w:hAnsi="Arial" w:cs="Arial"/>
          <w:sz w:val="18"/>
          <w:szCs w:val="18"/>
        </w:rPr>
      </w:pPr>
    </w:p>
    <w:p w14:paraId="49B750E9" w14:textId="6B95EE56" w:rsidR="00D665F9" w:rsidRDefault="00D665F9" w:rsidP="009578BC">
      <w:pPr>
        <w:ind w:right="57"/>
        <w:jc w:val="both"/>
        <w:rPr>
          <w:rFonts w:ascii="Arial" w:hAnsi="Arial" w:cs="Arial"/>
          <w:sz w:val="18"/>
          <w:szCs w:val="18"/>
        </w:rPr>
      </w:pPr>
    </w:p>
    <w:p w14:paraId="71E54D61" w14:textId="77777777" w:rsidR="009C6FB7" w:rsidRPr="009578BC" w:rsidRDefault="009C6FB7" w:rsidP="009578BC">
      <w:pPr>
        <w:ind w:right="57"/>
        <w:jc w:val="both"/>
        <w:rPr>
          <w:rFonts w:ascii="Arial" w:hAnsi="Arial" w:cs="Arial"/>
          <w:sz w:val="28"/>
          <w:szCs w:val="22"/>
        </w:rPr>
      </w:pPr>
    </w:p>
    <w:p w14:paraId="625F0BAD" w14:textId="2E609BA3" w:rsidR="009C6FB7" w:rsidRDefault="00D665F9">
      <w:pPr>
        <w:rPr>
          <w:rFonts w:ascii="Arial Narrow" w:hAnsi="Arial Narrow"/>
          <w:color w:val="1F497D" w:themeColor="text2"/>
        </w:rPr>
      </w:pPr>
      <w:bookmarkStart w:id="0" w:name="OLE_LINK2"/>
      <w:r w:rsidRPr="009578BC">
        <w:rPr>
          <w:rFonts w:ascii="Arial Black" w:hAnsi="Arial Black"/>
          <w:b/>
          <w:iCs/>
          <w:noProof/>
          <w:color w:val="1F497D" w:themeColor="text2"/>
        </w:rPr>
        <w:t>ECONOMIA E AMBIENTE: PRINCIPALI INDICATORI</w:t>
      </w:r>
      <w:r w:rsidR="009C6FB7">
        <w:rPr>
          <w:rFonts w:ascii="Arial Narrow" w:hAnsi="Arial Narrow"/>
          <w:b/>
          <w:iCs/>
          <w:noProof/>
          <w:color w:val="1F497D" w:themeColor="text2"/>
        </w:rPr>
        <w:t xml:space="preserve">. </w:t>
      </w:r>
      <w:r w:rsidRPr="00B23F81">
        <w:rPr>
          <w:rFonts w:ascii="Arial Narrow" w:hAnsi="Arial Narrow"/>
          <w:color w:val="1F497D" w:themeColor="text2"/>
        </w:rPr>
        <w:t xml:space="preserve">Anni 2018-2020, </w:t>
      </w:r>
      <w:r>
        <w:rPr>
          <w:rFonts w:ascii="Arial Narrow" w:hAnsi="Arial Narrow"/>
          <w:color w:val="1F497D" w:themeColor="text2"/>
        </w:rPr>
        <w:t xml:space="preserve">valori assoluti, valori per unità di Pil </w:t>
      </w:r>
      <w:r w:rsidRPr="00F07AED">
        <w:rPr>
          <w:rFonts w:ascii="Arial Narrow" w:hAnsi="Arial Narrow"/>
          <w:color w:val="1F497D" w:themeColor="text2"/>
          <w:vertAlign w:val="superscript"/>
        </w:rPr>
        <w:t>(a)</w:t>
      </w:r>
      <w:r>
        <w:rPr>
          <w:rFonts w:ascii="Arial Narrow" w:hAnsi="Arial Narrow"/>
          <w:color w:val="1F497D" w:themeColor="text2"/>
        </w:rPr>
        <w:t xml:space="preserve"> e variazioni percentuali</w:t>
      </w:r>
    </w:p>
    <w:p w14:paraId="7B22DE75" w14:textId="4B3F81F9" w:rsidR="00D665F9" w:rsidRPr="009578BC" w:rsidRDefault="00D665F9">
      <w:pPr>
        <w:rPr>
          <w:rFonts w:ascii="Arial Narrow" w:hAnsi="Arial Narrow"/>
          <w:color w:val="1F497D" w:themeColor="text2"/>
          <w:sz w:val="18"/>
          <w:szCs w:val="18"/>
        </w:rPr>
      </w:pPr>
    </w:p>
    <w:tbl>
      <w:tblPr>
        <w:tblW w:w="9923" w:type="dxa"/>
        <w:tblBorders>
          <w:top w:val="single" w:sz="4" w:space="0" w:color="FFFFFF" w:themeColor="background1"/>
          <w:bottom w:val="single" w:sz="4" w:space="0" w:color="FFFFFF" w:themeColor="background1"/>
          <w:insideH w:val="single" w:sz="4" w:space="0" w:color="FFFFFF" w:themeColor="background1"/>
        </w:tblBorders>
        <w:tblLayout w:type="fixed"/>
        <w:tblCellMar>
          <w:left w:w="70" w:type="dxa"/>
          <w:right w:w="70" w:type="dxa"/>
        </w:tblCellMar>
        <w:tblLook w:val="04A0" w:firstRow="1" w:lastRow="0" w:firstColumn="1" w:lastColumn="0" w:noHBand="0" w:noVBand="1"/>
      </w:tblPr>
      <w:tblGrid>
        <w:gridCol w:w="3069"/>
        <w:gridCol w:w="1118"/>
        <w:gridCol w:w="978"/>
        <w:gridCol w:w="840"/>
        <w:gridCol w:w="699"/>
        <w:gridCol w:w="840"/>
        <w:gridCol w:w="700"/>
        <w:gridCol w:w="839"/>
        <w:gridCol w:w="840"/>
      </w:tblGrid>
      <w:tr w:rsidR="00D665F9" w:rsidRPr="00566C66" w14:paraId="53A1ACC8" w14:textId="77777777" w:rsidTr="00566C66">
        <w:trPr>
          <w:trHeight w:val="234"/>
        </w:trPr>
        <w:tc>
          <w:tcPr>
            <w:tcW w:w="3069" w:type="dxa"/>
            <w:vMerge w:val="restart"/>
            <w:shd w:val="clear" w:color="auto" w:fill="auto"/>
            <w:vAlign w:val="center"/>
            <w:hideMark/>
          </w:tcPr>
          <w:p w14:paraId="5F824420" w14:textId="77777777" w:rsidR="00D665F9" w:rsidRPr="009578BC" w:rsidRDefault="00D665F9" w:rsidP="009578BC">
            <w:pPr>
              <w:spacing w:before="40" w:after="20"/>
              <w:rPr>
                <w:rFonts w:ascii="Arial Narrow" w:hAnsi="Arial Narrow"/>
                <w:sz w:val="18"/>
                <w:szCs w:val="18"/>
              </w:rPr>
            </w:pPr>
            <w:r w:rsidRPr="00FA56F3">
              <w:rPr>
                <w:rFonts w:ascii="Arial Narrow" w:hAnsi="Arial Narrow" w:cs="Calibri"/>
                <w:b/>
                <w:bCs/>
                <w:color w:val="1F497D"/>
                <w:sz w:val="18"/>
                <w:szCs w:val="18"/>
              </w:rPr>
              <w:t>INDICATORI</w:t>
            </w:r>
          </w:p>
        </w:tc>
        <w:tc>
          <w:tcPr>
            <w:tcW w:w="1118" w:type="dxa"/>
            <w:vMerge w:val="restart"/>
            <w:shd w:val="clear" w:color="auto" w:fill="auto"/>
          </w:tcPr>
          <w:p w14:paraId="53BBBCEE" w14:textId="77777777" w:rsidR="00623B16" w:rsidRPr="00566C66" w:rsidRDefault="00623B16" w:rsidP="009578BC">
            <w:pPr>
              <w:spacing w:before="40" w:after="20"/>
              <w:jc w:val="center"/>
              <w:rPr>
                <w:rFonts w:ascii="Arial Narrow" w:hAnsi="Arial Narrow" w:cs="Calibri"/>
                <w:b/>
                <w:bCs/>
                <w:color w:val="1F497D"/>
                <w:szCs w:val="17"/>
              </w:rPr>
            </w:pPr>
          </w:p>
          <w:p w14:paraId="237C684D" w14:textId="7DEA37EA" w:rsidR="00D665F9" w:rsidRPr="00906DEB" w:rsidRDefault="00D665F9" w:rsidP="009578BC">
            <w:pPr>
              <w:spacing w:before="40" w:after="20"/>
              <w:jc w:val="center"/>
              <w:rPr>
                <w:rFonts w:ascii="Arial Narrow" w:hAnsi="Arial Narrow" w:cs="Calibri"/>
                <w:b/>
                <w:bCs/>
                <w:color w:val="1F497D"/>
                <w:sz w:val="18"/>
                <w:szCs w:val="18"/>
              </w:rPr>
            </w:pPr>
            <w:r w:rsidRPr="00566C66">
              <w:rPr>
                <w:rFonts w:ascii="Arial Narrow" w:hAnsi="Arial Narrow" w:cs="Calibri"/>
                <w:b/>
                <w:bCs/>
                <w:color w:val="1F497D"/>
                <w:sz w:val="17"/>
                <w:szCs w:val="17"/>
              </w:rPr>
              <w:t>Unità di misura</w:t>
            </w:r>
          </w:p>
        </w:tc>
        <w:tc>
          <w:tcPr>
            <w:tcW w:w="1818" w:type="dxa"/>
            <w:gridSpan w:val="2"/>
            <w:shd w:val="clear" w:color="auto" w:fill="1F497D"/>
            <w:vAlign w:val="center"/>
            <w:hideMark/>
          </w:tcPr>
          <w:p w14:paraId="76BA224B" w14:textId="77777777" w:rsidR="00D665F9" w:rsidRPr="00906DEB" w:rsidRDefault="00D665F9" w:rsidP="009578BC">
            <w:pPr>
              <w:spacing w:before="40" w:after="20"/>
              <w:jc w:val="center"/>
              <w:rPr>
                <w:rFonts w:ascii="Arial Narrow" w:hAnsi="Arial Narrow" w:cs="Calibri"/>
                <w:b/>
                <w:bCs/>
                <w:color w:val="FFFFFF"/>
                <w:sz w:val="18"/>
                <w:szCs w:val="18"/>
              </w:rPr>
            </w:pPr>
            <w:r w:rsidRPr="00906DEB">
              <w:rPr>
                <w:rFonts w:ascii="Arial Narrow" w:hAnsi="Arial Narrow" w:cs="Calibri"/>
                <w:b/>
                <w:bCs/>
                <w:color w:val="FFFFFF"/>
                <w:sz w:val="18"/>
                <w:szCs w:val="18"/>
              </w:rPr>
              <w:t>2018</w:t>
            </w:r>
          </w:p>
        </w:tc>
        <w:tc>
          <w:tcPr>
            <w:tcW w:w="1539" w:type="dxa"/>
            <w:gridSpan w:val="2"/>
            <w:shd w:val="clear" w:color="auto" w:fill="1F497D"/>
            <w:vAlign w:val="center"/>
            <w:hideMark/>
          </w:tcPr>
          <w:p w14:paraId="5DC28CA8" w14:textId="77777777" w:rsidR="00D665F9" w:rsidRPr="00906DEB" w:rsidRDefault="00D665F9" w:rsidP="009578BC">
            <w:pPr>
              <w:spacing w:before="40" w:after="20"/>
              <w:jc w:val="center"/>
              <w:rPr>
                <w:rFonts w:ascii="Arial Narrow" w:hAnsi="Arial Narrow" w:cs="Calibri"/>
                <w:b/>
                <w:bCs/>
                <w:color w:val="FFFFFF"/>
                <w:sz w:val="18"/>
                <w:szCs w:val="18"/>
              </w:rPr>
            </w:pPr>
            <w:r w:rsidRPr="00906DEB">
              <w:rPr>
                <w:rFonts w:ascii="Arial Narrow" w:hAnsi="Arial Narrow" w:cs="Calibri"/>
                <w:b/>
                <w:bCs/>
                <w:color w:val="FFFFFF"/>
                <w:sz w:val="18"/>
                <w:szCs w:val="18"/>
              </w:rPr>
              <w:t>2019</w:t>
            </w:r>
          </w:p>
        </w:tc>
        <w:tc>
          <w:tcPr>
            <w:tcW w:w="2379" w:type="dxa"/>
            <w:gridSpan w:val="3"/>
            <w:shd w:val="clear" w:color="auto" w:fill="1F497D"/>
            <w:vAlign w:val="center"/>
            <w:hideMark/>
          </w:tcPr>
          <w:p w14:paraId="0B9AFB27" w14:textId="77777777" w:rsidR="00D665F9" w:rsidRPr="00906DEB" w:rsidRDefault="00D665F9" w:rsidP="009578BC">
            <w:pPr>
              <w:spacing w:before="40" w:after="20"/>
              <w:jc w:val="center"/>
              <w:rPr>
                <w:rFonts w:ascii="Arial Narrow" w:hAnsi="Arial Narrow" w:cs="Calibri"/>
                <w:b/>
                <w:bCs/>
                <w:color w:val="FFFFFF"/>
                <w:sz w:val="18"/>
                <w:szCs w:val="18"/>
              </w:rPr>
            </w:pPr>
            <w:r w:rsidRPr="00906DEB">
              <w:rPr>
                <w:rFonts w:ascii="Arial Narrow" w:hAnsi="Arial Narrow" w:cs="Calibri"/>
                <w:b/>
                <w:bCs/>
                <w:color w:val="FFFFFF"/>
                <w:sz w:val="18"/>
                <w:szCs w:val="18"/>
              </w:rPr>
              <w:t>2020</w:t>
            </w:r>
          </w:p>
        </w:tc>
      </w:tr>
      <w:tr w:rsidR="00D665F9" w:rsidRPr="00121B1D" w14:paraId="152EBBF0" w14:textId="77777777" w:rsidTr="00566C66">
        <w:trPr>
          <w:trHeight w:val="531"/>
        </w:trPr>
        <w:tc>
          <w:tcPr>
            <w:tcW w:w="3069" w:type="dxa"/>
            <w:vMerge/>
            <w:shd w:val="clear" w:color="auto" w:fill="auto"/>
            <w:vAlign w:val="center"/>
            <w:hideMark/>
          </w:tcPr>
          <w:p w14:paraId="7C6E5589" w14:textId="77777777" w:rsidR="00D665F9" w:rsidRPr="009578BC" w:rsidRDefault="00D665F9" w:rsidP="009578BC">
            <w:pPr>
              <w:spacing w:before="40" w:after="20"/>
              <w:rPr>
                <w:rFonts w:ascii="Arial Narrow" w:hAnsi="Arial Narrow"/>
                <w:sz w:val="18"/>
                <w:szCs w:val="18"/>
              </w:rPr>
            </w:pPr>
          </w:p>
        </w:tc>
        <w:tc>
          <w:tcPr>
            <w:tcW w:w="1118" w:type="dxa"/>
            <w:vMerge/>
            <w:shd w:val="clear" w:color="auto" w:fill="auto"/>
          </w:tcPr>
          <w:p w14:paraId="2FD463A7" w14:textId="77777777" w:rsidR="00D665F9" w:rsidRPr="00906DEB" w:rsidRDefault="00D665F9" w:rsidP="009578BC">
            <w:pPr>
              <w:spacing w:before="40" w:after="20"/>
              <w:rPr>
                <w:rFonts w:ascii="Arial Narrow" w:hAnsi="Arial Narrow"/>
                <w:b/>
                <w:sz w:val="18"/>
                <w:szCs w:val="18"/>
              </w:rPr>
            </w:pPr>
          </w:p>
        </w:tc>
        <w:tc>
          <w:tcPr>
            <w:tcW w:w="978" w:type="dxa"/>
            <w:shd w:val="clear" w:color="auto" w:fill="auto"/>
            <w:vAlign w:val="center"/>
          </w:tcPr>
          <w:p w14:paraId="01FFD351" w14:textId="77777777" w:rsidR="00D665F9" w:rsidRPr="00566C66" w:rsidRDefault="00D665F9" w:rsidP="009578BC">
            <w:pPr>
              <w:spacing w:before="40" w:after="20"/>
              <w:jc w:val="center"/>
              <w:rPr>
                <w:rFonts w:ascii="Arial Narrow" w:hAnsi="Arial Narrow" w:cs="Calibri"/>
                <w:b/>
                <w:bCs/>
                <w:color w:val="1F497D"/>
                <w:sz w:val="17"/>
                <w:szCs w:val="17"/>
              </w:rPr>
            </w:pPr>
            <w:r w:rsidRPr="00566C66">
              <w:rPr>
                <w:rFonts w:ascii="Arial Narrow" w:hAnsi="Arial Narrow" w:cs="Calibri"/>
                <w:b/>
                <w:bCs/>
                <w:color w:val="1F497D"/>
                <w:sz w:val="17"/>
                <w:szCs w:val="17"/>
              </w:rPr>
              <w:t>Valori assoluti</w:t>
            </w:r>
          </w:p>
        </w:tc>
        <w:tc>
          <w:tcPr>
            <w:tcW w:w="840" w:type="dxa"/>
            <w:shd w:val="clear" w:color="auto" w:fill="auto"/>
            <w:vAlign w:val="center"/>
            <w:hideMark/>
          </w:tcPr>
          <w:p w14:paraId="48A1CAB2" w14:textId="77777777" w:rsidR="009111CC" w:rsidRPr="00566C66" w:rsidRDefault="00D665F9" w:rsidP="009578BC">
            <w:pPr>
              <w:spacing w:before="40" w:after="20"/>
              <w:jc w:val="center"/>
              <w:rPr>
                <w:rFonts w:ascii="Arial Narrow" w:hAnsi="Arial Narrow" w:cs="Calibri"/>
                <w:b/>
                <w:bCs/>
                <w:color w:val="1F497D"/>
                <w:sz w:val="17"/>
                <w:szCs w:val="17"/>
              </w:rPr>
            </w:pPr>
            <w:r w:rsidRPr="00566C66">
              <w:rPr>
                <w:rFonts w:ascii="Arial Narrow" w:hAnsi="Arial Narrow" w:cs="Calibri"/>
                <w:b/>
                <w:bCs/>
                <w:color w:val="1F497D"/>
                <w:sz w:val="17"/>
                <w:szCs w:val="17"/>
              </w:rPr>
              <w:t>Valori/Pil</w:t>
            </w:r>
          </w:p>
          <w:p w14:paraId="4E5A6F24" w14:textId="5C4470A1" w:rsidR="00D665F9" w:rsidRPr="00566C66" w:rsidRDefault="00D665F9" w:rsidP="009578BC">
            <w:pPr>
              <w:spacing w:before="40" w:after="20"/>
              <w:jc w:val="center"/>
              <w:rPr>
                <w:rFonts w:ascii="Arial Narrow" w:hAnsi="Arial Narrow" w:cs="Calibri"/>
                <w:b/>
                <w:bCs/>
                <w:color w:val="1F497D"/>
                <w:sz w:val="17"/>
                <w:szCs w:val="17"/>
              </w:rPr>
            </w:pPr>
            <w:r w:rsidRPr="00566C66">
              <w:rPr>
                <w:rFonts w:ascii="Arial Narrow" w:hAnsi="Arial Narrow" w:cs="Calibri"/>
                <w:b/>
                <w:bCs/>
                <w:color w:val="1F497D"/>
                <w:sz w:val="17"/>
                <w:szCs w:val="17"/>
              </w:rPr>
              <w:t>(a)</w:t>
            </w:r>
          </w:p>
        </w:tc>
        <w:tc>
          <w:tcPr>
            <w:tcW w:w="699" w:type="dxa"/>
            <w:shd w:val="clear" w:color="auto" w:fill="auto"/>
            <w:vAlign w:val="center"/>
            <w:hideMark/>
          </w:tcPr>
          <w:p w14:paraId="7E669211" w14:textId="77777777" w:rsidR="00D665F9" w:rsidRPr="00566C66" w:rsidRDefault="00D665F9" w:rsidP="009578BC">
            <w:pPr>
              <w:spacing w:before="40" w:after="20"/>
              <w:jc w:val="center"/>
              <w:rPr>
                <w:rFonts w:ascii="Arial Narrow" w:hAnsi="Arial Narrow" w:cs="Calibri"/>
                <w:b/>
                <w:bCs/>
                <w:color w:val="1F497D"/>
                <w:sz w:val="17"/>
                <w:szCs w:val="17"/>
              </w:rPr>
            </w:pPr>
            <w:r w:rsidRPr="00566C66">
              <w:rPr>
                <w:rFonts w:ascii="Arial Narrow" w:hAnsi="Arial Narrow" w:cs="Calibri"/>
                <w:b/>
                <w:bCs/>
                <w:color w:val="1F497D"/>
                <w:sz w:val="17"/>
                <w:szCs w:val="17"/>
              </w:rPr>
              <w:t>Valori assoluti</w:t>
            </w:r>
          </w:p>
        </w:tc>
        <w:tc>
          <w:tcPr>
            <w:tcW w:w="840" w:type="dxa"/>
            <w:shd w:val="clear" w:color="auto" w:fill="auto"/>
            <w:vAlign w:val="center"/>
          </w:tcPr>
          <w:p w14:paraId="67626C0E" w14:textId="77777777" w:rsidR="009111CC" w:rsidRPr="00566C66" w:rsidRDefault="00D665F9" w:rsidP="009578BC">
            <w:pPr>
              <w:spacing w:before="40" w:after="20"/>
              <w:jc w:val="center"/>
              <w:rPr>
                <w:rFonts w:ascii="Arial Narrow" w:hAnsi="Arial Narrow" w:cs="Calibri"/>
                <w:b/>
                <w:bCs/>
                <w:color w:val="1F497D"/>
                <w:sz w:val="17"/>
                <w:szCs w:val="17"/>
              </w:rPr>
            </w:pPr>
            <w:r w:rsidRPr="00566C66">
              <w:rPr>
                <w:rFonts w:ascii="Arial Narrow" w:hAnsi="Arial Narrow" w:cs="Calibri"/>
                <w:b/>
                <w:bCs/>
                <w:color w:val="1F497D"/>
                <w:sz w:val="17"/>
                <w:szCs w:val="17"/>
              </w:rPr>
              <w:t>Valori/Pil</w:t>
            </w:r>
          </w:p>
          <w:p w14:paraId="3FFE8CCA" w14:textId="688592ED" w:rsidR="00D665F9" w:rsidRPr="00566C66" w:rsidRDefault="00D665F9" w:rsidP="009578BC">
            <w:pPr>
              <w:spacing w:before="40" w:after="20"/>
              <w:jc w:val="center"/>
              <w:rPr>
                <w:rFonts w:ascii="Arial Narrow" w:hAnsi="Arial Narrow" w:cs="Calibri"/>
                <w:b/>
                <w:bCs/>
                <w:color w:val="1F497D"/>
                <w:sz w:val="17"/>
                <w:szCs w:val="17"/>
              </w:rPr>
            </w:pPr>
            <w:r w:rsidRPr="00566C66">
              <w:rPr>
                <w:rFonts w:ascii="Arial Narrow" w:hAnsi="Arial Narrow" w:cs="Calibri"/>
                <w:b/>
                <w:bCs/>
                <w:color w:val="1F497D"/>
                <w:sz w:val="17"/>
                <w:szCs w:val="17"/>
              </w:rPr>
              <w:t>(a)</w:t>
            </w:r>
          </w:p>
        </w:tc>
        <w:tc>
          <w:tcPr>
            <w:tcW w:w="700" w:type="dxa"/>
            <w:shd w:val="clear" w:color="auto" w:fill="auto"/>
            <w:vAlign w:val="center"/>
          </w:tcPr>
          <w:p w14:paraId="236BE98A" w14:textId="77777777" w:rsidR="00D665F9" w:rsidRPr="00566C66" w:rsidRDefault="00D665F9" w:rsidP="009578BC">
            <w:pPr>
              <w:spacing w:before="40" w:after="20"/>
              <w:jc w:val="center"/>
              <w:rPr>
                <w:rFonts w:ascii="Arial Narrow" w:hAnsi="Arial Narrow" w:cs="Calibri"/>
                <w:b/>
                <w:bCs/>
                <w:color w:val="1F497D"/>
                <w:sz w:val="17"/>
                <w:szCs w:val="17"/>
              </w:rPr>
            </w:pPr>
            <w:r w:rsidRPr="00566C66">
              <w:rPr>
                <w:rFonts w:ascii="Arial Narrow" w:hAnsi="Arial Narrow" w:cs="Calibri"/>
                <w:b/>
                <w:bCs/>
                <w:color w:val="1F497D"/>
                <w:sz w:val="17"/>
                <w:szCs w:val="17"/>
              </w:rPr>
              <w:t>Valori assoluti</w:t>
            </w:r>
          </w:p>
        </w:tc>
        <w:tc>
          <w:tcPr>
            <w:tcW w:w="839" w:type="dxa"/>
            <w:shd w:val="clear" w:color="auto" w:fill="auto"/>
            <w:vAlign w:val="center"/>
          </w:tcPr>
          <w:p w14:paraId="7A47B008" w14:textId="77777777" w:rsidR="009111CC" w:rsidRPr="00566C66" w:rsidRDefault="00D665F9" w:rsidP="009578BC">
            <w:pPr>
              <w:spacing w:before="40" w:after="20"/>
              <w:jc w:val="center"/>
              <w:rPr>
                <w:rFonts w:ascii="Arial Narrow" w:hAnsi="Arial Narrow" w:cs="Calibri"/>
                <w:b/>
                <w:bCs/>
                <w:color w:val="1F497D"/>
                <w:sz w:val="17"/>
                <w:szCs w:val="17"/>
              </w:rPr>
            </w:pPr>
            <w:r w:rsidRPr="00566C66">
              <w:rPr>
                <w:rFonts w:ascii="Arial Narrow" w:hAnsi="Arial Narrow" w:cs="Calibri"/>
                <w:b/>
                <w:bCs/>
                <w:color w:val="1F497D"/>
                <w:sz w:val="17"/>
                <w:szCs w:val="17"/>
              </w:rPr>
              <w:t>Valori/Pil</w:t>
            </w:r>
          </w:p>
          <w:p w14:paraId="7DEB29E5" w14:textId="21028F7F" w:rsidR="00D665F9" w:rsidRPr="00566C66" w:rsidRDefault="00D665F9" w:rsidP="009578BC">
            <w:pPr>
              <w:spacing w:before="40" w:after="20"/>
              <w:jc w:val="center"/>
              <w:rPr>
                <w:rFonts w:ascii="Arial Narrow" w:hAnsi="Arial Narrow" w:cs="Calibri"/>
                <w:b/>
                <w:bCs/>
                <w:color w:val="1F497D"/>
                <w:sz w:val="17"/>
                <w:szCs w:val="17"/>
              </w:rPr>
            </w:pPr>
            <w:r w:rsidRPr="00566C66">
              <w:rPr>
                <w:rFonts w:ascii="Arial Narrow" w:hAnsi="Arial Narrow" w:cs="Calibri"/>
                <w:b/>
                <w:bCs/>
                <w:color w:val="1F497D"/>
                <w:sz w:val="17"/>
                <w:szCs w:val="17"/>
              </w:rPr>
              <w:t>(a)</w:t>
            </w:r>
          </w:p>
        </w:tc>
        <w:tc>
          <w:tcPr>
            <w:tcW w:w="840" w:type="dxa"/>
            <w:shd w:val="clear" w:color="auto" w:fill="auto"/>
          </w:tcPr>
          <w:p w14:paraId="41B3436E" w14:textId="2C5E1277" w:rsidR="00D665F9" w:rsidRPr="00566C66" w:rsidRDefault="00906DEB" w:rsidP="00906DEB">
            <w:pPr>
              <w:spacing w:before="40" w:after="20"/>
              <w:jc w:val="center"/>
              <w:rPr>
                <w:rFonts w:ascii="Arial Narrow" w:hAnsi="Arial Narrow" w:cs="Calibri"/>
                <w:b/>
                <w:bCs/>
                <w:color w:val="1F497D"/>
                <w:sz w:val="17"/>
                <w:szCs w:val="17"/>
              </w:rPr>
            </w:pPr>
            <w:r w:rsidRPr="00566C66">
              <w:rPr>
                <w:rFonts w:ascii="Arial Narrow" w:hAnsi="Arial Narrow" w:cs="Calibri"/>
                <w:b/>
                <w:bCs/>
                <w:color w:val="1F497D"/>
                <w:sz w:val="17"/>
                <w:szCs w:val="17"/>
              </w:rPr>
              <w:t xml:space="preserve">Variazione </w:t>
            </w:r>
            <w:r w:rsidR="00D665F9" w:rsidRPr="00566C66">
              <w:rPr>
                <w:rFonts w:ascii="Arial Narrow" w:hAnsi="Arial Narrow" w:cs="Calibri"/>
                <w:b/>
                <w:bCs/>
                <w:color w:val="1F497D"/>
                <w:sz w:val="17"/>
                <w:szCs w:val="17"/>
              </w:rPr>
              <w:t>sul 2019</w:t>
            </w:r>
          </w:p>
        </w:tc>
      </w:tr>
      <w:tr w:rsidR="00D665F9" w:rsidRPr="00A66A7C" w14:paraId="6E0DDD07" w14:textId="77777777" w:rsidTr="00345CB6">
        <w:trPr>
          <w:trHeight w:val="305"/>
        </w:trPr>
        <w:tc>
          <w:tcPr>
            <w:tcW w:w="3069" w:type="dxa"/>
            <w:shd w:val="clear" w:color="auto" w:fill="auto"/>
            <w:vAlign w:val="center"/>
            <w:hideMark/>
          </w:tcPr>
          <w:p w14:paraId="3CECAC05" w14:textId="0F5AD9E2" w:rsidR="00D665F9" w:rsidRPr="00FA56F3" w:rsidRDefault="00D665F9" w:rsidP="009578BC">
            <w:pPr>
              <w:spacing w:before="40" w:after="20"/>
              <w:rPr>
                <w:rFonts w:ascii="Arial Narrow" w:hAnsi="Arial Narrow" w:cs="Calibri"/>
                <w:b/>
                <w:bCs/>
                <w:color w:val="1F497D"/>
                <w:sz w:val="18"/>
                <w:szCs w:val="18"/>
              </w:rPr>
            </w:pPr>
            <w:r w:rsidRPr="00FA56F3">
              <w:rPr>
                <w:rFonts w:ascii="Arial Narrow" w:hAnsi="Arial Narrow" w:cs="Calibri"/>
                <w:b/>
                <w:bCs/>
                <w:color w:val="1F497D"/>
                <w:sz w:val="18"/>
                <w:szCs w:val="18"/>
              </w:rPr>
              <w:t>Consumo di energia delle unità residenti (</w:t>
            </w:r>
            <w:r w:rsidRPr="005D58EE">
              <w:rPr>
                <w:rFonts w:ascii="Arial Narrow" w:hAnsi="Arial Narrow" w:cs="Calibri"/>
                <w:b/>
                <w:bCs/>
                <w:i/>
                <w:color w:val="1F497D"/>
                <w:sz w:val="18"/>
                <w:szCs w:val="18"/>
              </w:rPr>
              <w:t xml:space="preserve">Net </w:t>
            </w:r>
            <w:r w:rsidR="005D58EE" w:rsidRPr="005D58EE">
              <w:rPr>
                <w:rFonts w:ascii="Arial Narrow" w:hAnsi="Arial Narrow" w:cs="Calibri"/>
                <w:b/>
                <w:bCs/>
                <w:i/>
                <w:color w:val="1F497D"/>
                <w:sz w:val="18"/>
                <w:szCs w:val="18"/>
              </w:rPr>
              <w:t>domestic energy use</w:t>
            </w:r>
            <w:r w:rsidR="005D58EE" w:rsidRPr="005D58EE">
              <w:rPr>
                <w:rFonts w:ascii="Arial Narrow" w:hAnsi="Arial Narrow" w:cs="Calibri"/>
                <w:b/>
                <w:bCs/>
                <w:color w:val="1F497D"/>
                <w:sz w:val="18"/>
                <w:szCs w:val="18"/>
              </w:rPr>
              <w:t xml:space="preserve"> </w:t>
            </w:r>
            <w:r w:rsidRPr="005D58EE">
              <w:rPr>
                <w:rFonts w:ascii="Arial Narrow" w:hAnsi="Arial Narrow" w:cs="Calibri"/>
                <w:b/>
                <w:bCs/>
                <w:color w:val="1F497D"/>
                <w:sz w:val="18"/>
                <w:szCs w:val="18"/>
              </w:rPr>
              <w:t xml:space="preserve">– </w:t>
            </w:r>
            <w:r w:rsidR="005D58EE" w:rsidRPr="005D58EE">
              <w:rPr>
                <w:rFonts w:ascii="Arial Narrow" w:hAnsi="Arial Narrow" w:cs="Calibri"/>
                <w:b/>
                <w:bCs/>
                <w:color w:val="1F497D"/>
                <w:sz w:val="18"/>
                <w:szCs w:val="18"/>
              </w:rPr>
              <w:t>Ndeu</w:t>
            </w:r>
            <w:r w:rsidRPr="00FA56F3">
              <w:rPr>
                <w:rFonts w:ascii="Arial Narrow" w:hAnsi="Arial Narrow" w:cs="Calibri"/>
                <w:b/>
                <w:bCs/>
                <w:color w:val="1F497D"/>
                <w:sz w:val="18"/>
                <w:szCs w:val="18"/>
              </w:rPr>
              <w:t>)</w:t>
            </w:r>
          </w:p>
        </w:tc>
        <w:tc>
          <w:tcPr>
            <w:tcW w:w="1118" w:type="dxa"/>
            <w:shd w:val="clear" w:color="auto" w:fill="D9D9D9" w:themeFill="background1" w:themeFillShade="D9"/>
          </w:tcPr>
          <w:p w14:paraId="5E9020BE" w14:textId="5E6A0B6A" w:rsidR="00D665F9" w:rsidRPr="00FA56F3" w:rsidRDefault="00D665F9" w:rsidP="009578BC">
            <w:pPr>
              <w:spacing w:before="40" w:after="20"/>
              <w:rPr>
                <w:rFonts w:ascii="Arial Narrow" w:hAnsi="Arial Narrow"/>
                <w:sz w:val="18"/>
                <w:szCs w:val="18"/>
              </w:rPr>
            </w:pPr>
            <w:r w:rsidRPr="00FA56F3">
              <w:rPr>
                <w:rFonts w:ascii="Arial Narrow" w:hAnsi="Arial Narrow"/>
                <w:sz w:val="18"/>
                <w:szCs w:val="18"/>
              </w:rPr>
              <w:t xml:space="preserve">Migliaia di </w:t>
            </w:r>
            <w:r w:rsidR="00766656">
              <w:rPr>
                <w:rFonts w:ascii="Arial Narrow" w:hAnsi="Arial Narrow"/>
                <w:sz w:val="18"/>
                <w:szCs w:val="18"/>
              </w:rPr>
              <w:t>t</w:t>
            </w:r>
            <w:r w:rsidRPr="00FA56F3">
              <w:rPr>
                <w:rFonts w:ascii="Arial Narrow" w:hAnsi="Arial Narrow"/>
                <w:sz w:val="18"/>
                <w:szCs w:val="18"/>
              </w:rPr>
              <w:t>erajoule</w:t>
            </w:r>
          </w:p>
        </w:tc>
        <w:tc>
          <w:tcPr>
            <w:tcW w:w="978" w:type="dxa"/>
            <w:shd w:val="clear" w:color="auto" w:fill="auto"/>
            <w:vAlign w:val="center"/>
          </w:tcPr>
          <w:p w14:paraId="5A450C90" w14:textId="77777777" w:rsidR="00D665F9" w:rsidRPr="00FA56F3" w:rsidRDefault="00D665F9" w:rsidP="009578BC">
            <w:pPr>
              <w:spacing w:before="40" w:after="20"/>
              <w:jc w:val="right"/>
              <w:rPr>
                <w:rFonts w:ascii="Arial Narrow" w:hAnsi="Arial Narrow"/>
                <w:sz w:val="18"/>
                <w:szCs w:val="18"/>
              </w:rPr>
            </w:pPr>
            <w:r w:rsidRPr="00FA56F3">
              <w:rPr>
                <w:rFonts w:ascii="Arial Narrow" w:hAnsi="Arial Narrow"/>
                <w:sz w:val="18"/>
                <w:szCs w:val="18"/>
              </w:rPr>
              <w:t>7.149</w:t>
            </w:r>
          </w:p>
        </w:tc>
        <w:tc>
          <w:tcPr>
            <w:tcW w:w="840" w:type="dxa"/>
            <w:shd w:val="clear" w:color="auto" w:fill="D9D9D9" w:themeFill="background1" w:themeFillShade="D9"/>
            <w:vAlign w:val="center"/>
          </w:tcPr>
          <w:p w14:paraId="25FFCD9A" w14:textId="77777777" w:rsidR="00D665F9" w:rsidRPr="00FA56F3" w:rsidRDefault="00D665F9" w:rsidP="009578BC">
            <w:pPr>
              <w:spacing w:before="40" w:after="20"/>
              <w:jc w:val="right"/>
              <w:rPr>
                <w:rFonts w:ascii="Arial Narrow" w:hAnsi="Arial Narrow"/>
                <w:sz w:val="18"/>
                <w:szCs w:val="18"/>
              </w:rPr>
            </w:pPr>
            <w:r w:rsidRPr="00FA56F3">
              <w:rPr>
                <w:rFonts w:ascii="Arial Narrow" w:hAnsi="Arial Narrow"/>
                <w:sz w:val="18"/>
                <w:szCs w:val="18"/>
              </w:rPr>
              <w:t>4,16</w:t>
            </w:r>
          </w:p>
        </w:tc>
        <w:tc>
          <w:tcPr>
            <w:tcW w:w="699" w:type="dxa"/>
            <w:shd w:val="clear" w:color="auto" w:fill="auto"/>
            <w:vAlign w:val="center"/>
          </w:tcPr>
          <w:p w14:paraId="617F45E4" w14:textId="77777777" w:rsidR="00D665F9" w:rsidRPr="00FA56F3" w:rsidRDefault="00D665F9" w:rsidP="009578BC">
            <w:pPr>
              <w:spacing w:before="40" w:after="20"/>
              <w:jc w:val="right"/>
              <w:rPr>
                <w:rFonts w:ascii="Arial Narrow" w:hAnsi="Arial Narrow"/>
                <w:sz w:val="18"/>
                <w:szCs w:val="18"/>
              </w:rPr>
            </w:pPr>
            <w:r w:rsidRPr="00FA56F3">
              <w:rPr>
                <w:rFonts w:ascii="Arial Narrow" w:hAnsi="Arial Narrow"/>
                <w:sz w:val="18"/>
                <w:szCs w:val="18"/>
              </w:rPr>
              <w:t>7.102</w:t>
            </w:r>
          </w:p>
        </w:tc>
        <w:tc>
          <w:tcPr>
            <w:tcW w:w="840" w:type="dxa"/>
            <w:shd w:val="clear" w:color="auto" w:fill="D9D9D9" w:themeFill="background1" w:themeFillShade="D9"/>
            <w:vAlign w:val="center"/>
          </w:tcPr>
          <w:p w14:paraId="6AA91777" w14:textId="77777777" w:rsidR="00D665F9" w:rsidRPr="00FA56F3" w:rsidRDefault="00D665F9" w:rsidP="009578BC">
            <w:pPr>
              <w:spacing w:before="40" w:after="20"/>
              <w:jc w:val="right"/>
              <w:rPr>
                <w:rFonts w:ascii="Arial Narrow" w:hAnsi="Arial Narrow"/>
                <w:sz w:val="18"/>
                <w:szCs w:val="18"/>
              </w:rPr>
            </w:pPr>
            <w:r w:rsidRPr="00FA56F3">
              <w:rPr>
                <w:rFonts w:ascii="Arial Narrow" w:hAnsi="Arial Narrow"/>
                <w:sz w:val="18"/>
                <w:szCs w:val="18"/>
              </w:rPr>
              <w:t>4,11</w:t>
            </w:r>
          </w:p>
        </w:tc>
        <w:tc>
          <w:tcPr>
            <w:tcW w:w="700" w:type="dxa"/>
            <w:shd w:val="clear" w:color="auto" w:fill="auto"/>
            <w:vAlign w:val="center"/>
          </w:tcPr>
          <w:p w14:paraId="73F60FB0" w14:textId="77777777" w:rsidR="00D665F9" w:rsidRPr="00FA56F3" w:rsidRDefault="00D665F9" w:rsidP="009578BC">
            <w:pPr>
              <w:spacing w:before="40" w:after="20"/>
              <w:jc w:val="right"/>
              <w:rPr>
                <w:rFonts w:ascii="Arial Narrow" w:hAnsi="Arial Narrow"/>
                <w:sz w:val="18"/>
                <w:szCs w:val="18"/>
              </w:rPr>
            </w:pPr>
            <w:r w:rsidRPr="00FA56F3">
              <w:rPr>
                <w:rFonts w:ascii="Arial Narrow" w:hAnsi="Arial Narrow"/>
                <w:sz w:val="18"/>
                <w:szCs w:val="18"/>
              </w:rPr>
              <w:t>6.477</w:t>
            </w:r>
          </w:p>
        </w:tc>
        <w:tc>
          <w:tcPr>
            <w:tcW w:w="839" w:type="dxa"/>
            <w:shd w:val="clear" w:color="auto" w:fill="D9D9D9" w:themeFill="background1" w:themeFillShade="D9"/>
            <w:vAlign w:val="center"/>
          </w:tcPr>
          <w:p w14:paraId="41C4BC83" w14:textId="77777777" w:rsidR="00D665F9" w:rsidRPr="00FA56F3" w:rsidRDefault="00D665F9" w:rsidP="009578BC">
            <w:pPr>
              <w:spacing w:before="40" w:after="20"/>
              <w:jc w:val="right"/>
              <w:rPr>
                <w:rFonts w:ascii="Arial Narrow" w:hAnsi="Arial Narrow"/>
                <w:sz w:val="18"/>
                <w:szCs w:val="18"/>
              </w:rPr>
            </w:pPr>
            <w:r w:rsidRPr="00FA56F3">
              <w:rPr>
                <w:rFonts w:ascii="Arial Narrow" w:hAnsi="Arial Narrow"/>
                <w:sz w:val="18"/>
                <w:szCs w:val="18"/>
              </w:rPr>
              <w:t>4,12</w:t>
            </w:r>
          </w:p>
        </w:tc>
        <w:tc>
          <w:tcPr>
            <w:tcW w:w="840" w:type="dxa"/>
            <w:shd w:val="clear" w:color="auto" w:fill="auto"/>
            <w:vAlign w:val="center"/>
          </w:tcPr>
          <w:p w14:paraId="3380C4E2" w14:textId="77777777" w:rsidR="00D665F9" w:rsidRPr="00FA56F3" w:rsidRDefault="00D665F9" w:rsidP="00B72CBC">
            <w:pPr>
              <w:spacing w:before="40" w:after="20"/>
              <w:jc w:val="right"/>
              <w:rPr>
                <w:rFonts w:ascii="Arial Narrow" w:hAnsi="Arial Narrow"/>
                <w:sz w:val="18"/>
                <w:szCs w:val="18"/>
              </w:rPr>
            </w:pPr>
            <w:r w:rsidRPr="00FA56F3">
              <w:rPr>
                <w:rFonts w:ascii="Arial Narrow" w:hAnsi="Arial Narrow"/>
                <w:sz w:val="18"/>
                <w:szCs w:val="18"/>
              </w:rPr>
              <w:t>-8,8%</w:t>
            </w:r>
          </w:p>
        </w:tc>
      </w:tr>
      <w:tr w:rsidR="00D665F9" w:rsidRPr="00121B1D" w14:paraId="34D98943" w14:textId="77777777" w:rsidTr="00345CB6">
        <w:trPr>
          <w:trHeight w:val="250"/>
        </w:trPr>
        <w:tc>
          <w:tcPr>
            <w:tcW w:w="3069" w:type="dxa"/>
            <w:shd w:val="clear" w:color="auto" w:fill="auto"/>
            <w:vAlign w:val="center"/>
            <w:hideMark/>
          </w:tcPr>
          <w:p w14:paraId="24E547F6" w14:textId="77777777" w:rsidR="00D665F9" w:rsidRPr="00FA56F3" w:rsidRDefault="00D665F9" w:rsidP="009578BC">
            <w:pPr>
              <w:spacing w:before="40" w:after="20"/>
              <w:rPr>
                <w:rFonts w:ascii="Arial Narrow" w:hAnsi="Arial Narrow" w:cs="Calibri"/>
                <w:b/>
                <w:bCs/>
                <w:color w:val="1F497D"/>
                <w:sz w:val="18"/>
                <w:szCs w:val="18"/>
              </w:rPr>
            </w:pPr>
            <w:r w:rsidRPr="00FA56F3">
              <w:rPr>
                <w:rFonts w:ascii="Arial Narrow" w:hAnsi="Arial Narrow" w:cs="Calibri"/>
                <w:b/>
                <w:bCs/>
                <w:color w:val="1F497D"/>
                <w:sz w:val="18"/>
                <w:szCs w:val="18"/>
              </w:rPr>
              <w:t>Gas serra in CO</w:t>
            </w:r>
            <w:r w:rsidRPr="00FA56F3">
              <w:rPr>
                <w:rFonts w:ascii="Arial Narrow" w:hAnsi="Arial Narrow" w:cs="Calibri"/>
                <w:b/>
                <w:bCs/>
                <w:color w:val="1F497D"/>
                <w:sz w:val="18"/>
                <w:szCs w:val="18"/>
                <w:vertAlign w:val="subscript"/>
              </w:rPr>
              <w:t xml:space="preserve">2 </w:t>
            </w:r>
            <w:r w:rsidRPr="00FA56F3">
              <w:rPr>
                <w:rFonts w:ascii="Arial Narrow" w:hAnsi="Arial Narrow" w:cs="Calibri"/>
                <w:b/>
                <w:bCs/>
                <w:color w:val="1F497D"/>
                <w:sz w:val="18"/>
                <w:szCs w:val="18"/>
              </w:rPr>
              <w:t>equivalenti</w:t>
            </w:r>
          </w:p>
        </w:tc>
        <w:tc>
          <w:tcPr>
            <w:tcW w:w="1118" w:type="dxa"/>
            <w:shd w:val="clear" w:color="auto" w:fill="D9D9D9" w:themeFill="background1" w:themeFillShade="D9"/>
          </w:tcPr>
          <w:p w14:paraId="0B0669EF" w14:textId="77777777" w:rsidR="00D665F9" w:rsidRPr="00FA56F3" w:rsidRDefault="00D665F9" w:rsidP="009578BC">
            <w:pPr>
              <w:spacing w:before="40" w:after="20"/>
              <w:rPr>
                <w:rFonts w:ascii="Arial Narrow" w:hAnsi="Arial Narrow"/>
                <w:sz w:val="18"/>
                <w:szCs w:val="18"/>
              </w:rPr>
            </w:pPr>
            <w:r w:rsidRPr="00FA56F3">
              <w:rPr>
                <w:rFonts w:ascii="Arial Narrow" w:hAnsi="Arial Narrow"/>
                <w:sz w:val="18"/>
                <w:szCs w:val="18"/>
              </w:rPr>
              <w:t>Milioni di tonn.</w:t>
            </w:r>
          </w:p>
        </w:tc>
        <w:tc>
          <w:tcPr>
            <w:tcW w:w="978" w:type="dxa"/>
            <w:shd w:val="clear" w:color="auto" w:fill="auto"/>
            <w:vAlign w:val="center"/>
          </w:tcPr>
          <w:p w14:paraId="101AA6D5" w14:textId="77777777" w:rsidR="00D665F9" w:rsidRPr="00FA56F3" w:rsidRDefault="00D665F9" w:rsidP="009578BC">
            <w:pPr>
              <w:spacing w:before="40" w:after="20"/>
              <w:jc w:val="right"/>
              <w:rPr>
                <w:rFonts w:ascii="Arial Narrow" w:hAnsi="Arial Narrow"/>
                <w:sz w:val="18"/>
                <w:szCs w:val="18"/>
              </w:rPr>
            </w:pPr>
            <w:r w:rsidRPr="00FA56F3">
              <w:rPr>
                <w:rFonts w:ascii="Arial Narrow" w:hAnsi="Arial Narrow"/>
                <w:sz w:val="18"/>
                <w:szCs w:val="18"/>
              </w:rPr>
              <w:t>445</w:t>
            </w:r>
          </w:p>
        </w:tc>
        <w:tc>
          <w:tcPr>
            <w:tcW w:w="840" w:type="dxa"/>
            <w:shd w:val="clear" w:color="auto" w:fill="D9D9D9" w:themeFill="background1" w:themeFillShade="D9"/>
            <w:vAlign w:val="center"/>
          </w:tcPr>
          <w:p w14:paraId="697EE4E9" w14:textId="77777777" w:rsidR="00D665F9" w:rsidRPr="00FA56F3" w:rsidRDefault="00D665F9" w:rsidP="009578BC">
            <w:pPr>
              <w:spacing w:before="40" w:after="20"/>
              <w:jc w:val="right"/>
              <w:rPr>
                <w:rFonts w:ascii="Arial Narrow" w:hAnsi="Arial Narrow"/>
                <w:sz w:val="18"/>
                <w:szCs w:val="18"/>
              </w:rPr>
            </w:pPr>
            <w:r w:rsidRPr="00FA56F3">
              <w:rPr>
                <w:rFonts w:ascii="Arial Narrow" w:hAnsi="Arial Narrow"/>
                <w:sz w:val="18"/>
                <w:szCs w:val="18"/>
              </w:rPr>
              <w:t>259</w:t>
            </w:r>
          </w:p>
        </w:tc>
        <w:tc>
          <w:tcPr>
            <w:tcW w:w="699" w:type="dxa"/>
            <w:shd w:val="clear" w:color="auto" w:fill="auto"/>
            <w:vAlign w:val="center"/>
          </w:tcPr>
          <w:p w14:paraId="4420ACF0" w14:textId="77777777" w:rsidR="00D665F9" w:rsidRPr="00FA56F3" w:rsidRDefault="00D665F9" w:rsidP="009578BC">
            <w:pPr>
              <w:spacing w:before="40" w:after="20"/>
              <w:jc w:val="right"/>
              <w:rPr>
                <w:rFonts w:ascii="Arial Narrow" w:hAnsi="Arial Narrow"/>
                <w:sz w:val="18"/>
                <w:szCs w:val="18"/>
              </w:rPr>
            </w:pPr>
            <w:r w:rsidRPr="00FA56F3">
              <w:rPr>
                <w:rFonts w:ascii="Arial Narrow" w:hAnsi="Arial Narrow"/>
                <w:sz w:val="18"/>
                <w:szCs w:val="18"/>
              </w:rPr>
              <w:t>436</w:t>
            </w:r>
          </w:p>
        </w:tc>
        <w:tc>
          <w:tcPr>
            <w:tcW w:w="840" w:type="dxa"/>
            <w:shd w:val="clear" w:color="auto" w:fill="D9D9D9" w:themeFill="background1" w:themeFillShade="D9"/>
            <w:vAlign w:val="center"/>
          </w:tcPr>
          <w:p w14:paraId="34975B6A" w14:textId="77777777" w:rsidR="00D665F9" w:rsidRPr="00FA56F3" w:rsidRDefault="00D665F9" w:rsidP="009578BC">
            <w:pPr>
              <w:spacing w:before="40" w:after="20"/>
              <w:jc w:val="right"/>
              <w:rPr>
                <w:rFonts w:ascii="Arial Narrow" w:hAnsi="Arial Narrow"/>
                <w:sz w:val="18"/>
                <w:szCs w:val="18"/>
              </w:rPr>
            </w:pPr>
            <w:r w:rsidRPr="00FA56F3">
              <w:rPr>
                <w:rFonts w:ascii="Arial Narrow" w:hAnsi="Arial Narrow"/>
                <w:sz w:val="18"/>
                <w:szCs w:val="18"/>
              </w:rPr>
              <w:t>252</w:t>
            </w:r>
          </w:p>
        </w:tc>
        <w:tc>
          <w:tcPr>
            <w:tcW w:w="700" w:type="dxa"/>
            <w:shd w:val="clear" w:color="auto" w:fill="auto"/>
            <w:vAlign w:val="center"/>
          </w:tcPr>
          <w:p w14:paraId="2D9ABE63" w14:textId="77777777" w:rsidR="00D665F9" w:rsidRPr="00FA56F3" w:rsidRDefault="00D665F9" w:rsidP="009578BC">
            <w:pPr>
              <w:spacing w:before="40" w:after="20"/>
              <w:jc w:val="right"/>
              <w:rPr>
                <w:rFonts w:ascii="Arial Narrow" w:hAnsi="Arial Narrow"/>
                <w:sz w:val="18"/>
                <w:szCs w:val="18"/>
              </w:rPr>
            </w:pPr>
            <w:r w:rsidRPr="00FA56F3">
              <w:rPr>
                <w:rFonts w:ascii="Arial Narrow" w:hAnsi="Arial Narrow"/>
                <w:sz w:val="18"/>
                <w:szCs w:val="18"/>
              </w:rPr>
              <w:t>392</w:t>
            </w:r>
          </w:p>
        </w:tc>
        <w:tc>
          <w:tcPr>
            <w:tcW w:w="839" w:type="dxa"/>
            <w:shd w:val="clear" w:color="auto" w:fill="D9D9D9" w:themeFill="background1" w:themeFillShade="D9"/>
            <w:vAlign w:val="center"/>
          </w:tcPr>
          <w:p w14:paraId="24869D61" w14:textId="77777777" w:rsidR="00D665F9" w:rsidRPr="00FA56F3" w:rsidRDefault="00D665F9" w:rsidP="009578BC">
            <w:pPr>
              <w:spacing w:before="40" w:after="20"/>
              <w:jc w:val="right"/>
              <w:rPr>
                <w:rFonts w:ascii="Arial Narrow" w:hAnsi="Arial Narrow"/>
                <w:sz w:val="18"/>
                <w:szCs w:val="18"/>
              </w:rPr>
            </w:pPr>
            <w:r w:rsidRPr="00FA56F3">
              <w:rPr>
                <w:rFonts w:ascii="Arial Narrow" w:hAnsi="Arial Narrow"/>
                <w:sz w:val="18"/>
                <w:szCs w:val="18"/>
              </w:rPr>
              <w:t>249</w:t>
            </w:r>
          </w:p>
        </w:tc>
        <w:tc>
          <w:tcPr>
            <w:tcW w:w="840" w:type="dxa"/>
            <w:shd w:val="clear" w:color="auto" w:fill="auto"/>
            <w:vAlign w:val="center"/>
          </w:tcPr>
          <w:p w14:paraId="5B505BAB" w14:textId="77777777" w:rsidR="00D665F9" w:rsidRPr="00FA56F3" w:rsidRDefault="00D665F9" w:rsidP="00B72CBC">
            <w:pPr>
              <w:spacing w:before="40" w:after="20"/>
              <w:jc w:val="right"/>
              <w:rPr>
                <w:rFonts w:ascii="Arial Narrow" w:hAnsi="Arial Narrow"/>
                <w:sz w:val="18"/>
                <w:szCs w:val="18"/>
              </w:rPr>
            </w:pPr>
            <w:r w:rsidRPr="00FA56F3">
              <w:rPr>
                <w:rFonts w:ascii="Arial Narrow" w:hAnsi="Arial Narrow"/>
                <w:sz w:val="18"/>
                <w:szCs w:val="18"/>
              </w:rPr>
              <w:t>-10,2%</w:t>
            </w:r>
          </w:p>
        </w:tc>
      </w:tr>
      <w:tr w:rsidR="00D665F9" w:rsidRPr="00121B1D" w14:paraId="4FBB5DE9" w14:textId="77777777" w:rsidTr="00345CB6">
        <w:trPr>
          <w:trHeight w:val="250"/>
        </w:trPr>
        <w:tc>
          <w:tcPr>
            <w:tcW w:w="3069" w:type="dxa"/>
            <w:shd w:val="clear" w:color="auto" w:fill="auto"/>
            <w:vAlign w:val="center"/>
            <w:hideMark/>
          </w:tcPr>
          <w:p w14:paraId="18739686" w14:textId="325D56AB" w:rsidR="00D665F9" w:rsidRPr="00FA56F3" w:rsidRDefault="00D665F9" w:rsidP="009578BC">
            <w:pPr>
              <w:spacing w:before="40" w:after="20"/>
              <w:rPr>
                <w:rFonts w:ascii="Arial Narrow" w:hAnsi="Arial Narrow" w:cs="Calibri"/>
                <w:b/>
                <w:bCs/>
                <w:color w:val="1F497D"/>
                <w:sz w:val="18"/>
                <w:szCs w:val="18"/>
              </w:rPr>
            </w:pPr>
            <w:r w:rsidRPr="00FA56F3">
              <w:rPr>
                <w:rFonts w:ascii="Arial Narrow" w:hAnsi="Arial Narrow" w:cs="Calibri"/>
                <w:b/>
                <w:bCs/>
                <w:color w:val="1F497D"/>
                <w:sz w:val="18"/>
                <w:szCs w:val="18"/>
              </w:rPr>
              <w:t xml:space="preserve">Consumo </w:t>
            </w:r>
            <w:r w:rsidR="005D58EE" w:rsidRPr="00FA56F3">
              <w:rPr>
                <w:rFonts w:ascii="Arial Narrow" w:hAnsi="Arial Narrow" w:cs="Calibri"/>
                <w:b/>
                <w:bCs/>
                <w:color w:val="1F497D"/>
                <w:sz w:val="18"/>
                <w:szCs w:val="18"/>
              </w:rPr>
              <w:t xml:space="preserve">materiale interno </w:t>
            </w:r>
            <w:r w:rsidRPr="00FA56F3">
              <w:rPr>
                <w:rFonts w:ascii="Arial Narrow" w:hAnsi="Arial Narrow" w:cs="Calibri"/>
                <w:b/>
                <w:bCs/>
                <w:color w:val="1F497D"/>
                <w:sz w:val="18"/>
                <w:szCs w:val="18"/>
              </w:rPr>
              <w:t>(</w:t>
            </w:r>
            <w:r w:rsidRPr="005D58EE">
              <w:rPr>
                <w:rFonts w:ascii="Arial Narrow" w:hAnsi="Arial Narrow" w:cs="Calibri"/>
                <w:b/>
                <w:bCs/>
                <w:i/>
                <w:color w:val="1F497D"/>
                <w:sz w:val="18"/>
                <w:szCs w:val="18"/>
              </w:rPr>
              <w:t xml:space="preserve">Domestic </w:t>
            </w:r>
            <w:r w:rsidR="005D58EE" w:rsidRPr="005D58EE">
              <w:rPr>
                <w:rFonts w:ascii="Arial Narrow" w:hAnsi="Arial Narrow" w:cs="Calibri"/>
                <w:b/>
                <w:bCs/>
                <w:i/>
                <w:color w:val="1F497D"/>
                <w:sz w:val="18"/>
                <w:szCs w:val="18"/>
              </w:rPr>
              <w:t>material consumption</w:t>
            </w:r>
            <w:r w:rsidR="005D58EE" w:rsidRPr="00FA56F3">
              <w:rPr>
                <w:rFonts w:ascii="Arial Narrow" w:hAnsi="Arial Narrow" w:cs="Calibri"/>
                <w:b/>
                <w:bCs/>
                <w:color w:val="1F497D"/>
                <w:sz w:val="18"/>
                <w:szCs w:val="18"/>
              </w:rPr>
              <w:t xml:space="preserve"> </w:t>
            </w:r>
            <w:r w:rsidRPr="00FA56F3">
              <w:rPr>
                <w:rFonts w:ascii="Arial Narrow" w:hAnsi="Arial Narrow" w:cs="Calibri"/>
                <w:b/>
                <w:bCs/>
                <w:color w:val="1F497D"/>
                <w:sz w:val="18"/>
                <w:szCs w:val="18"/>
              </w:rPr>
              <w:t>- Dmc)</w:t>
            </w:r>
          </w:p>
        </w:tc>
        <w:tc>
          <w:tcPr>
            <w:tcW w:w="1118" w:type="dxa"/>
            <w:shd w:val="clear" w:color="auto" w:fill="D9D9D9" w:themeFill="background1" w:themeFillShade="D9"/>
          </w:tcPr>
          <w:p w14:paraId="25625B96" w14:textId="77777777" w:rsidR="00D665F9" w:rsidRPr="00FA56F3" w:rsidRDefault="00D665F9" w:rsidP="009578BC">
            <w:pPr>
              <w:spacing w:before="40" w:after="20"/>
              <w:rPr>
                <w:rFonts w:ascii="Arial Narrow" w:hAnsi="Arial Narrow"/>
                <w:sz w:val="18"/>
                <w:szCs w:val="18"/>
              </w:rPr>
            </w:pPr>
            <w:r w:rsidRPr="00FA56F3">
              <w:rPr>
                <w:rFonts w:ascii="Arial Narrow" w:hAnsi="Arial Narrow"/>
                <w:sz w:val="18"/>
                <w:szCs w:val="18"/>
              </w:rPr>
              <w:t>Milioni di tonn.</w:t>
            </w:r>
          </w:p>
        </w:tc>
        <w:tc>
          <w:tcPr>
            <w:tcW w:w="978" w:type="dxa"/>
            <w:shd w:val="clear" w:color="auto" w:fill="auto"/>
            <w:vAlign w:val="center"/>
          </w:tcPr>
          <w:p w14:paraId="49605937" w14:textId="77777777" w:rsidR="00D665F9" w:rsidRPr="00FA56F3" w:rsidRDefault="00D665F9" w:rsidP="009578BC">
            <w:pPr>
              <w:spacing w:before="40" w:after="20"/>
              <w:jc w:val="right"/>
              <w:rPr>
                <w:rFonts w:ascii="Arial Narrow" w:hAnsi="Arial Narrow"/>
                <w:sz w:val="18"/>
                <w:szCs w:val="18"/>
              </w:rPr>
            </w:pPr>
            <w:r w:rsidRPr="00FA56F3">
              <w:rPr>
                <w:rFonts w:ascii="Arial Narrow" w:hAnsi="Arial Narrow"/>
                <w:sz w:val="18"/>
                <w:szCs w:val="18"/>
              </w:rPr>
              <w:t>488</w:t>
            </w:r>
          </w:p>
        </w:tc>
        <w:tc>
          <w:tcPr>
            <w:tcW w:w="840" w:type="dxa"/>
            <w:shd w:val="clear" w:color="auto" w:fill="D9D9D9" w:themeFill="background1" w:themeFillShade="D9"/>
            <w:vAlign w:val="center"/>
          </w:tcPr>
          <w:p w14:paraId="104B7703" w14:textId="77777777" w:rsidR="00D665F9" w:rsidRPr="00FA56F3" w:rsidRDefault="00D665F9" w:rsidP="009578BC">
            <w:pPr>
              <w:spacing w:before="40" w:after="20"/>
              <w:jc w:val="right"/>
              <w:rPr>
                <w:rFonts w:ascii="Arial Narrow" w:hAnsi="Arial Narrow"/>
                <w:sz w:val="18"/>
                <w:szCs w:val="18"/>
              </w:rPr>
            </w:pPr>
            <w:r w:rsidRPr="00FA56F3">
              <w:rPr>
                <w:rFonts w:ascii="Arial Narrow" w:hAnsi="Arial Narrow"/>
                <w:sz w:val="18"/>
                <w:szCs w:val="18"/>
              </w:rPr>
              <w:t>284</w:t>
            </w:r>
          </w:p>
        </w:tc>
        <w:tc>
          <w:tcPr>
            <w:tcW w:w="699" w:type="dxa"/>
            <w:shd w:val="clear" w:color="auto" w:fill="auto"/>
            <w:vAlign w:val="center"/>
          </w:tcPr>
          <w:p w14:paraId="3A217460" w14:textId="77777777" w:rsidR="00D665F9" w:rsidRPr="00FA56F3" w:rsidRDefault="00D665F9" w:rsidP="009578BC">
            <w:pPr>
              <w:spacing w:before="40" w:after="20"/>
              <w:jc w:val="right"/>
              <w:rPr>
                <w:rFonts w:ascii="Arial Narrow" w:hAnsi="Arial Narrow"/>
                <w:sz w:val="18"/>
                <w:szCs w:val="18"/>
              </w:rPr>
            </w:pPr>
            <w:r w:rsidRPr="00FA56F3">
              <w:rPr>
                <w:rFonts w:ascii="Arial Narrow" w:hAnsi="Arial Narrow"/>
                <w:sz w:val="18"/>
                <w:szCs w:val="18"/>
              </w:rPr>
              <w:t>497</w:t>
            </w:r>
          </w:p>
        </w:tc>
        <w:tc>
          <w:tcPr>
            <w:tcW w:w="840" w:type="dxa"/>
            <w:shd w:val="clear" w:color="auto" w:fill="D9D9D9" w:themeFill="background1" w:themeFillShade="D9"/>
            <w:vAlign w:val="center"/>
          </w:tcPr>
          <w:p w14:paraId="307A48E3" w14:textId="77777777" w:rsidR="00D665F9" w:rsidRPr="00FA56F3" w:rsidRDefault="00D665F9" w:rsidP="009578BC">
            <w:pPr>
              <w:spacing w:before="40" w:after="20"/>
              <w:jc w:val="right"/>
              <w:rPr>
                <w:rFonts w:ascii="Arial Narrow" w:hAnsi="Arial Narrow"/>
                <w:sz w:val="18"/>
                <w:szCs w:val="18"/>
              </w:rPr>
            </w:pPr>
            <w:r w:rsidRPr="00FA56F3">
              <w:rPr>
                <w:rFonts w:ascii="Arial Narrow" w:hAnsi="Arial Narrow"/>
                <w:sz w:val="18"/>
                <w:szCs w:val="18"/>
              </w:rPr>
              <w:t>288</w:t>
            </w:r>
          </w:p>
        </w:tc>
        <w:tc>
          <w:tcPr>
            <w:tcW w:w="700" w:type="dxa"/>
            <w:shd w:val="clear" w:color="auto" w:fill="auto"/>
            <w:vAlign w:val="center"/>
          </w:tcPr>
          <w:p w14:paraId="5E4B0747" w14:textId="77777777" w:rsidR="00D665F9" w:rsidRPr="00FA56F3" w:rsidRDefault="00D665F9" w:rsidP="009578BC">
            <w:pPr>
              <w:spacing w:before="40" w:after="20"/>
              <w:jc w:val="right"/>
              <w:rPr>
                <w:rFonts w:ascii="Arial Narrow" w:hAnsi="Arial Narrow"/>
                <w:sz w:val="18"/>
                <w:szCs w:val="18"/>
              </w:rPr>
            </w:pPr>
            <w:r w:rsidRPr="00FA56F3">
              <w:rPr>
                <w:rFonts w:ascii="Arial Narrow" w:hAnsi="Arial Narrow"/>
                <w:sz w:val="18"/>
                <w:szCs w:val="18"/>
              </w:rPr>
              <w:t>459</w:t>
            </w:r>
          </w:p>
        </w:tc>
        <w:tc>
          <w:tcPr>
            <w:tcW w:w="839" w:type="dxa"/>
            <w:shd w:val="clear" w:color="auto" w:fill="D9D9D9" w:themeFill="background1" w:themeFillShade="D9"/>
            <w:vAlign w:val="center"/>
          </w:tcPr>
          <w:p w14:paraId="7F630E53" w14:textId="77777777" w:rsidR="00D665F9" w:rsidRPr="00FA56F3" w:rsidRDefault="00D665F9" w:rsidP="009578BC">
            <w:pPr>
              <w:spacing w:before="40" w:after="20"/>
              <w:jc w:val="right"/>
              <w:rPr>
                <w:rFonts w:ascii="Arial Narrow" w:hAnsi="Arial Narrow"/>
                <w:sz w:val="18"/>
                <w:szCs w:val="18"/>
              </w:rPr>
            </w:pPr>
            <w:r w:rsidRPr="00FA56F3">
              <w:rPr>
                <w:rFonts w:ascii="Arial Narrow" w:hAnsi="Arial Narrow"/>
                <w:sz w:val="18"/>
                <w:szCs w:val="18"/>
              </w:rPr>
              <w:t>292</w:t>
            </w:r>
          </w:p>
        </w:tc>
        <w:tc>
          <w:tcPr>
            <w:tcW w:w="840" w:type="dxa"/>
            <w:shd w:val="clear" w:color="auto" w:fill="auto"/>
            <w:vAlign w:val="center"/>
          </w:tcPr>
          <w:p w14:paraId="162976B3" w14:textId="77777777" w:rsidR="00D665F9" w:rsidRPr="00FA56F3" w:rsidRDefault="00D665F9" w:rsidP="00B72CBC">
            <w:pPr>
              <w:spacing w:before="40" w:after="20"/>
              <w:jc w:val="right"/>
              <w:rPr>
                <w:rFonts w:ascii="Arial Narrow" w:hAnsi="Arial Narrow"/>
                <w:sz w:val="18"/>
                <w:szCs w:val="18"/>
              </w:rPr>
            </w:pPr>
            <w:r w:rsidRPr="00FA56F3">
              <w:rPr>
                <w:rFonts w:ascii="Arial Narrow" w:hAnsi="Arial Narrow"/>
                <w:sz w:val="18"/>
                <w:szCs w:val="18"/>
              </w:rPr>
              <w:t>-7,7%</w:t>
            </w:r>
          </w:p>
        </w:tc>
      </w:tr>
      <w:tr w:rsidR="009578BC" w:rsidRPr="00121B1D" w14:paraId="5E23AE68" w14:textId="77777777" w:rsidTr="00345CB6">
        <w:trPr>
          <w:trHeight w:val="250"/>
        </w:trPr>
        <w:tc>
          <w:tcPr>
            <w:tcW w:w="3069" w:type="dxa"/>
            <w:shd w:val="clear" w:color="auto" w:fill="auto"/>
            <w:vAlign w:val="center"/>
            <w:hideMark/>
          </w:tcPr>
          <w:p w14:paraId="620E85EA" w14:textId="77777777" w:rsidR="009578BC" w:rsidRPr="00FA56F3" w:rsidRDefault="009578BC" w:rsidP="009578BC">
            <w:pPr>
              <w:spacing w:before="40" w:after="20"/>
              <w:rPr>
                <w:rFonts w:ascii="Arial Narrow" w:hAnsi="Arial Narrow" w:cs="Calibri"/>
                <w:b/>
                <w:bCs/>
                <w:color w:val="1F497D"/>
                <w:sz w:val="18"/>
                <w:szCs w:val="18"/>
              </w:rPr>
            </w:pPr>
            <w:r w:rsidRPr="00FA56F3">
              <w:rPr>
                <w:rFonts w:ascii="Arial Narrow" w:hAnsi="Arial Narrow" w:cs="Calibri"/>
                <w:b/>
                <w:bCs/>
                <w:color w:val="1F497D"/>
                <w:sz w:val="18"/>
                <w:szCs w:val="18"/>
              </w:rPr>
              <w:t>Valore aggiunto dei beni e servizi ambientali</w:t>
            </w:r>
          </w:p>
        </w:tc>
        <w:tc>
          <w:tcPr>
            <w:tcW w:w="1118" w:type="dxa"/>
            <w:shd w:val="clear" w:color="auto" w:fill="D9D9D9" w:themeFill="background1" w:themeFillShade="D9"/>
          </w:tcPr>
          <w:p w14:paraId="62344CC7" w14:textId="77777777" w:rsidR="009578BC" w:rsidRPr="00FA56F3" w:rsidRDefault="009578BC" w:rsidP="009578BC">
            <w:pPr>
              <w:spacing w:before="40" w:after="20"/>
              <w:rPr>
                <w:rFonts w:ascii="Arial Narrow" w:hAnsi="Arial Narrow"/>
                <w:sz w:val="18"/>
                <w:szCs w:val="18"/>
              </w:rPr>
            </w:pPr>
            <w:r w:rsidRPr="00FA56F3">
              <w:rPr>
                <w:rFonts w:ascii="Arial Narrow" w:hAnsi="Arial Narrow"/>
                <w:sz w:val="18"/>
                <w:szCs w:val="18"/>
              </w:rPr>
              <w:t>Miliardi di euro</w:t>
            </w:r>
          </w:p>
        </w:tc>
        <w:tc>
          <w:tcPr>
            <w:tcW w:w="978" w:type="dxa"/>
            <w:shd w:val="clear" w:color="auto" w:fill="auto"/>
            <w:vAlign w:val="center"/>
          </w:tcPr>
          <w:p w14:paraId="0B726848" w14:textId="2F833CF8" w:rsidR="009578BC" w:rsidRPr="00FA56F3" w:rsidRDefault="009578BC" w:rsidP="009578BC">
            <w:pPr>
              <w:spacing w:before="40" w:after="20"/>
              <w:jc w:val="right"/>
              <w:rPr>
                <w:rFonts w:ascii="Arial Narrow" w:hAnsi="Arial Narrow"/>
                <w:sz w:val="18"/>
                <w:szCs w:val="18"/>
              </w:rPr>
            </w:pPr>
            <w:r>
              <w:rPr>
                <w:rFonts w:ascii="Arial Narrow" w:hAnsi="Arial Narrow"/>
                <w:sz w:val="18"/>
                <w:szCs w:val="18"/>
              </w:rPr>
              <w:t>42,2</w:t>
            </w:r>
          </w:p>
        </w:tc>
        <w:tc>
          <w:tcPr>
            <w:tcW w:w="840" w:type="dxa"/>
            <w:shd w:val="clear" w:color="auto" w:fill="D9D9D9" w:themeFill="background1" w:themeFillShade="D9"/>
            <w:vAlign w:val="center"/>
          </w:tcPr>
          <w:p w14:paraId="3F173A8B" w14:textId="58C6CA16" w:rsidR="009578BC" w:rsidRPr="00FA56F3" w:rsidRDefault="009578BC" w:rsidP="009578BC">
            <w:pPr>
              <w:spacing w:before="40" w:after="20"/>
              <w:jc w:val="right"/>
              <w:rPr>
                <w:rFonts w:ascii="Arial Narrow" w:hAnsi="Arial Narrow"/>
                <w:sz w:val="18"/>
                <w:szCs w:val="18"/>
              </w:rPr>
            </w:pPr>
            <w:r>
              <w:rPr>
                <w:rFonts w:ascii="Arial Narrow" w:hAnsi="Arial Narrow"/>
                <w:sz w:val="18"/>
                <w:szCs w:val="18"/>
              </w:rPr>
              <w:t>2,4%</w:t>
            </w:r>
          </w:p>
        </w:tc>
        <w:tc>
          <w:tcPr>
            <w:tcW w:w="699" w:type="dxa"/>
            <w:shd w:val="clear" w:color="auto" w:fill="auto"/>
            <w:vAlign w:val="center"/>
          </w:tcPr>
          <w:p w14:paraId="792DBCA9" w14:textId="5D439F95" w:rsidR="009578BC" w:rsidRPr="00FA56F3" w:rsidRDefault="009578BC" w:rsidP="009578BC">
            <w:pPr>
              <w:spacing w:before="40" w:after="20"/>
              <w:jc w:val="right"/>
              <w:rPr>
                <w:rFonts w:ascii="Arial Narrow" w:hAnsi="Arial Narrow"/>
                <w:sz w:val="18"/>
                <w:szCs w:val="18"/>
              </w:rPr>
            </w:pPr>
            <w:r>
              <w:rPr>
                <w:rFonts w:ascii="Arial Narrow" w:hAnsi="Arial Narrow"/>
                <w:sz w:val="18"/>
                <w:szCs w:val="18"/>
              </w:rPr>
              <w:t>42,1</w:t>
            </w:r>
          </w:p>
        </w:tc>
        <w:tc>
          <w:tcPr>
            <w:tcW w:w="840" w:type="dxa"/>
            <w:shd w:val="clear" w:color="auto" w:fill="D9D9D9" w:themeFill="background1" w:themeFillShade="D9"/>
            <w:vAlign w:val="center"/>
          </w:tcPr>
          <w:p w14:paraId="6AAB9B40" w14:textId="064DFF0F" w:rsidR="009578BC" w:rsidRPr="00FA56F3" w:rsidRDefault="009578BC" w:rsidP="009578BC">
            <w:pPr>
              <w:spacing w:before="40" w:after="20"/>
              <w:jc w:val="right"/>
              <w:rPr>
                <w:rFonts w:ascii="Arial Narrow" w:hAnsi="Arial Narrow"/>
                <w:sz w:val="18"/>
                <w:szCs w:val="18"/>
              </w:rPr>
            </w:pPr>
            <w:r>
              <w:rPr>
                <w:rFonts w:ascii="Arial Narrow" w:hAnsi="Arial Narrow"/>
                <w:sz w:val="18"/>
                <w:szCs w:val="18"/>
              </w:rPr>
              <w:t>2,3%</w:t>
            </w:r>
          </w:p>
        </w:tc>
        <w:tc>
          <w:tcPr>
            <w:tcW w:w="700" w:type="dxa"/>
            <w:shd w:val="clear" w:color="auto" w:fill="auto"/>
            <w:vAlign w:val="center"/>
          </w:tcPr>
          <w:p w14:paraId="546FC9D4" w14:textId="793E9373" w:rsidR="009578BC" w:rsidRPr="00FA56F3" w:rsidRDefault="009578BC" w:rsidP="009578BC">
            <w:pPr>
              <w:spacing w:before="40" w:after="20"/>
              <w:jc w:val="right"/>
              <w:rPr>
                <w:rFonts w:ascii="Arial Narrow" w:hAnsi="Arial Narrow"/>
                <w:sz w:val="18"/>
                <w:szCs w:val="18"/>
              </w:rPr>
            </w:pPr>
            <w:r>
              <w:rPr>
                <w:rFonts w:ascii="Arial Narrow" w:hAnsi="Arial Narrow"/>
                <w:sz w:val="18"/>
                <w:szCs w:val="18"/>
              </w:rPr>
              <w:t>40,9</w:t>
            </w:r>
          </w:p>
        </w:tc>
        <w:tc>
          <w:tcPr>
            <w:tcW w:w="839" w:type="dxa"/>
            <w:shd w:val="clear" w:color="auto" w:fill="D9D9D9" w:themeFill="background1" w:themeFillShade="D9"/>
            <w:vAlign w:val="center"/>
          </w:tcPr>
          <w:p w14:paraId="5F9EB337" w14:textId="70AB9B09" w:rsidR="009578BC" w:rsidRPr="00FA56F3" w:rsidRDefault="009578BC" w:rsidP="009578BC">
            <w:pPr>
              <w:spacing w:before="40" w:after="20"/>
              <w:jc w:val="right"/>
              <w:rPr>
                <w:rFonts w:ascii="Arial Narrow" w:hAnsi="Arial Narrow"/>
                <w:sz w:val="18"/>
                <w:szCs w:val="18"/>
              </w:rPr>
            </w:pPr>
            <w:r>
              <w:rPr>
                <w:rFonts w:ascii="Arial Narrow" w:hAnsi="Arial Narrow"/>
                <w:sz w:val="18"/>
                <w:szCs w:val="18"/>
              </w:rPr>
              <w:t>2,5%</w:t>
            </w:r>
          </w:p>
        </w:tc>
        <w:tc>
          <w:tcPr>
            <w:tcW w:w="840" w:type="dxa"/>
            <w:shd w:val="clear" w:color="auto" w:fill="auto"/>
            <w:vAlign w:val="center"/>
          </w:tcPr>
          <w:p w14:paraId="664E1FB7" w14:textId="026796A5" w:rsidR="009578BC" w:rsidRPr="00FA56F3" w:rsidRDefault="009578BC" w:rsidP="00B72CBC">
            <w:pPr>
              <w:spacing w:before="40" w:after="20"/>
              <w:jc w:val="right"/>
              <w:rPr>
                <w:rFonts w:ascii="Arial Narrow" w:hAnsi="Arial Narrow"/>
                <w:sz w:val="18"/>
                <w:szCs w:val="18"/>
              </w:rPr>
            </w:pPr>
            <w:r>
              <w:rPr>
                <w:rFonts w:ascii="Arial Narrow" w:hAnsi="Arial Narrow"/>
                <w:sz w:val="18"/>
                <w:szCs w:val="18"/>
              </w:rPr>
              <w:t>-3,0%</w:t>
            </w:r>
          </w:p>
        </w:tc>
      </w:tr>
      <w:tr w:rsidR="00D665F9" w:rsidRPr="00121B1D" w14:paraId="278E4D41" w14:textId="77777777" w:rsidTr="00345CB6">
        <w:trPr>
          <w:trHeight w:val="250"/>
        </w:trPr>
        <w:tc>
          <w:tcPr>
            <w:tcW w:w="3069" w:type="dxa"/>
            <w:shd w:val="clear" w:color="auto" w:fill="auto"/>
            <w:vAlign w:val="center"/>
            <w:hideMark/>
          </w:tcPr>
          <w:p w14:paraId="19E6C072" w14:textId="77777777" w:rsidR="00D665F9" w:rsidRPr="00FA56F3" w:rsidRDefault="00D665F9" w:rsidP="009578BC">
            <w:pPr>
              <w:spacing w:before="40" w:after="20"/>
              <w:rPr>
                <w:rFonts w:ascii="Arial Narrow" w:hAnsi="Arial Narrow" w:cs="Calibri"/>
                <w:b/>
                <w:bCs/>
                <w:color w:val="1F497D"/>
                <w:sz w:val="18"/>
                <w:szCs w:val="18"/>
              </w:rPr>
            </w:pPr>
            <w:r w:rsidRPr="00FA56F3">
              <w:rPr>
                <w:rFonts w:ascii="Arial Narrow" w:hAnsi="Arial Narrow" w:cs="Calibri"/>
                <w:b/>
                <w:bCs/>
                <w:color w:val="1F497D"/>
                <w:sz w:val="18"/>
                <w:szCs w:val="18"/>
              </w:rPr>
              <w:t>Gettito delle imposte ambientali</w:t>
            </w:r>
          </w:p>
        </w:tc>
        <w:tc>
          <w:tcPr>
            <w:tcW w:w="1118" w:type="dxa"/>
            <w:shd w:val="clear" w:color="auto" w:fill="D9D9D9" w:themeFill="background1" w:themeFillShade="D9"/>
          </w:tcPr>
          <w:p w14:paraId="4471A823" w14:textId="77777777" w:rsidR="00D665F9" w:rsidRPr="00FA56F3" w:rsidRDefault="00D665F9" w:rsidP="009578BC">
            <w:pPr>
              <w:spacing w:before="40" w:after="20"/>
              <w:rPr>
                <w:rFonts w:ascii="Arial Narrow" w:hAnsi="Arial Narrow"/>
                <w:sz w:val="18"/>
                <w:szCs w:val="18"/>
              </w:rPr>
            </w:pPr>
            <w:r w:rsidRPr="00FA56F3">
              <w:rPr>
                <w:rFonts w:ascii="Arial Narrow" w:hAnsi="Arial Narrow"/>
                <w:sz w:val="18"/>
                <w:szCs w:val="18"/>
              </w:rPr>
              <w:t>Miliardi di euro</w:t>
            </w:r>
          </w:p>
        </w:tc>
        <w:tc>
          <w:tcPr>
            <w:tcW w:w="978" w:type="dxa"/>
            <w:shd w:val="clear" w:color="auto" w:fill="auto"/>
            <w:vAlign w:val="center"/>
          </w:tcPr>
          <w:p w14:paraId="574C0E92" w14:textId="77777777" w:rsidR="00D665F9" w:rsidRPr="00FA56F3" w:rsidRDefault="00D665F9" w:rsidP="009578BC">
            <w:pPr>
              <w:spacing w:before="40" w:after="20"/>
              <w:jc w:val="right"/>
              <w:rPr>
                <w:rFonts w:ascii="Arial Narrow" w:hAnsi="Arial Narrow"/>
                <w:sz w:val="18"/>
                <w:szCs w:val="18"/>
              </w:rPr>
            </w:pPr>
            <w:r w:rsidRPr="00FA56F3">
              <w:rPr>
                <w:rFonts w:ascii="Arial Narrow" w:hAnsi="Arial Narrow"/>
                <w:sz w:val="18"/>
                <w:szCs w:val="18"/>
              </w:rPr>
              <w:t>58,6</w:t>
            </w:r>
          </w:p>
        </w:tc>
        <w:tc>
          <w:tcPr>
            <w:tcW w:w="840" w:type="dxa"/>
            <w:shd w:val="clear" w:color="auto" w:fill="D9D9D9" w:themeFill="background1" w:themeFillShade="D9"/>
            <w:vAlign w:val="center"/>
          </w:tcPr>
          <w:p w14:paraId="1BD7D84C" w14:textId="77777777" w:rsidR="00D665F9" w:rsidRPr="00FA56F3" w:rsidRDefault="00D665F9" w:rsidP="009578BC">
            <w:pPr>
              <w:spacing w:before="40" w:after="20"/>
              <w:jc w:val="right"/>
              <w:rPr>
                <w:rFonts w:ascii="Arial Narrow" w:hAnsi="Arial Narrow"/>
                <w:sz w:val="18"/>
                <w:szCs w:val="18"/>
              </w:rPr>
            </w:pPr>
            <w:r w:rsidRPr="00FA56F3">
              <w:rPr>
                <w:rFonts w:ascii="Arial Narrow" w:hAnsi="Arial Narrow"/>
                <w:sz w:val="18"/>
                <w:szCs w:val="18"/>
              </w:rPr>
              <w:t>3,3%</w:t>
            </w:r>
          </w:p>
        </w:tc>
        <w:tc>
          <w:tcPr>
            <w:tcW w:w="699" w:type="dxa"/>
            <w:shd w:val="clear" w:color="auto" w:fill="auto"/>
            <w:vAlign w:val="center"/>
          </w:tcPr>
          <w:p w14:paraId="4291AC9B" w14:textId="77777777" w:rsidR="00D665F9" w:rsidRPr="00FA56F3" w:rsidRDefault="00D665F9" w:rsidP="009578BC">
            <w:pPr>
              <w:spacing w:before="40" w:after="20"/>
              <w:jc w:val="right"/>
              <w:rPr>
                <w:rFonts w:ascii="Arial Narrow" w:hAnsi="Arial Narrow"/>
                <w:sz w:val="18"/>
                <w:szCs w:val="18"/>
              </w:rPr>
            </w:pPr>
            <w:r w:rsidRPr="00FA56F3">
              <w:rPr>
                <w:rFonts w:ascii="Arial Narrow" w:hAnsi="Arial Narrow"/>
                <w:sz w:val="18"/>
                <w:szCs w:val="18"/>
              </w:rPr>
              <w:t>58,3</w:t>
            </w:r>
          </w:p>
        </w:tc>
        <w:tc>
          <w:tcPr>
            <w:tcW w:w="840" w:type="dxa"/>
            <w:shd w:val="clear" w:color="auto" w:fill="D9D9D9" w:themeFill="background1" w:themeFillShade="D9"/>
            <w:vAlign w:val="center"/>
          </w:tcPr>
          <w:p w14:paraId="69979DB5" w14:textId="77777777" w:rsidR="00D665F9" w:rsidRPr="00FA56F3" w:rsidRDefault="00D665F9" w:rsidP="009578BC">
            <w:pPr>
              <w:spacing w:before="40" w:after="20"/>
              <w:jc w:val="right"/>
              <w:rPr>
                <w:rFonts w:ascii="Arial Narrow" w:hAnsi="Arial Narrow"/>
                <w:sz w:val="18"/>
                <w:szCs w:val="18"/>
              </w:rPr>
            </w:pPr>
            <w:r w:rsidRPr="00FA56F3">
              <w:rPr>
                <w:rFonts w:ascii="Arial Narrow" w:hAnsi="Arial Narrow"/>
                <w:sz w:val="18"/>
                <w:szCs w:val="18"/>
              </w:rPr>
              <w:t>3,2%</w:t>
            </w:r>
          </w:p>
        </w:tc>
        <w:tc>
          <w:tcPr>
            <w:tcW w:w="700" w:type="dxa"/>
            <w:shd w:val="clear" w:color="auto" w:fill="auto"/>
            <w:vAlign w:val="center"/>
          </w:tcPr>
          <w:p w14:paraId="788A1C11" w14:textId="77777777" w:rsidR="00D665F9" w:rsidRPr="00FA56F3" w:rsidRDefault="00D665F9" w:rsidP="009578BC">
            <w:pPr>
              <w:spacing w:before="40" w:after="20"/>
              <w:jc w:val="right"/>
              <w:rPr>
                <w:rFonts w:ascii="Arial Narrow" w:hAnsi="Arial Narrow"/>
                <w:sz w:val="18"/>
                <w:szCs w:val="18"/>
              </w:rPr>
            </w:pPr>
            <w:r w:rsidRPr="00FA56F3">
              <w:rPr>
                <w:rFonts w:ascii="Arial Narrow" w:hAnsi="Arial Narrow"/>
                <w:sz w:val="18"/>
                <w:szCs w:val="18"/>
              </w:rPr>
              <w:t>50,4</w:t>
            </w:r>
          </w:p>
        </w:tc>
        <w:tc>
          <w:tcPr>
            <w:tcW w:w="839" w:type="dxa"/>
            <w:shd w:val="clear" w:color="auto" w:fill="D9D9D9" w:themeFill="background1" w:themeFillShade="D9"/>
            <w:vAlign w:val="center"/>
          </w:tcPr>
          <w:p w14:paraId="6563A6EB" w14:textId="77777777" w:rsidR="00D665F9" w:rsidRPr="00FA56F3" w:rsidRDefault="00D665F9" w:rsidP="009578BC">
            <w:pPr>
              <w:spacing w:before="40" w:after="20"/>
              <w:jc w:val="right"/>
              <w:rPr>
                <w:rFonts w:ascii="Arial Narrow" w:hAnsi="Arial Narrow"/>
                <w:sz w:val="18"/>
                <w:szCs w:val="18"/>
              </w:rPr>
            </w:pPr>
            <w:r w:rsidRPr="00FA56F3">
              <w:rPr>
                <w:rFonts w:ascii="Arial Narrow" w:hAnsi="Arial Narrow"/>
                <w:sz w:val="18"/>
                <w:szCs w:val="18"/>
              </w:rPr>
              <w:t>3,0%</w:t>
            </w:r>
          </w:p>
        </w:tc>
        <w:tc>
          <w:tcPr>
            <w:tcW w:w="840" w:type="dxa"/>
            <w:shd w:val="clear" w:color="auto" w:fill="auto"/>
            <w:vAlign w:val="center"/>
          </w:tcPr>
          <w:p w14:paraId="3B077132" w14:textId="77777777" w:rsidR="00D665F9" w:rsidRPr="00FA56F3" w:rsidRDefault="00D665F9" w:rsidP="00B72CBC">
            <w:pPr>
              <w:spacing w:before="40" w:after="20"/>
              <w:jc w:val="right"/>
              <w:rPr>
                <w:rFonts w:ascii="Arial Narrow" w:hAnsi="Arial Narrow"/>
                <w:sz w:val="18"/>
                <w:szCs w:val="18"/>
              </w:rPr>
            </w:pPr>
            <w:r w:rsidRPr="00FA56F3">
              <w:rPr>
                <w:rFonts w:ascii="Arial Narrow" w:hAnsi="Arial Narrow"/>
                <w:sz w:val="18"/>
                <w:szCs w:val="18"/>
              </w:rPr>
              <w:t>-13,5%</w:t>
            </w:r>
          </w:p>
        </w:tc>
      </w:tr>
      <w:tr w:rsidR="009578BC" w:rsidRPr="00121B1D" w14:paraId="64ED744C" w14:textId="77777777" w:rsidTr="00345CB6">
        <w:trPr>
          <w:trHeight w:val="250"/>
        </w:trPr>
        <w:tc>
          <w:tcPr>
            <w:tcW w:w="3069" w:type="dxa"/>
            <w:shd w:val="clear" w:color="auto" w:fill="auto"/>
            <w:vAlign w:val="center"/>
          </w:tcPr>
          <w:p w14:paraId="19367209" w14:textId="77777777" w:rsidR="009578BC" w:rsidRPr="00FA56F3" w:rsidRDefault="009578BC" w:rsidP="009578BC">
            <w:pPr>
              <w:spacing w:before="40" w:after="20"/>
              <w:rPr>
                <w:rFonts w:ascii="Arial Narrow" w:hAnsi="Arial Narrow" w:cs="Calibri"/>
                <w:b/>
                <w:bCs/>
                <w:color w:val="1F497D"/>
                <w:sz w:val="18"/>
                <w:szCs w:val="18"/>
              </w:rPr>
            </w:pPr>
            <w:r w:rsidRPr="00FA56F3">
              <w:rPr>
                <w:rFonts w:ascii="Arial Narrow" w:hAnsi="Arial Narrow" w:cs="Calibri"/>
                <w:b/>
                <w:bCs/>
                <w:color w:val="1F497D"/>
                <w:sz w:val="18"/>
                <w:szCs w:val="18"/>
              </w:rPr>
              <w:t xml:space="preserve">Spesa per la protezione dell’ambiente </w:t>
            </w:r>
          </w:p>
        </w:tc>
        <w:tc>
          <w:tcPr>
            <w:tcW w:w="1118" w:type="dxa"/>
            <w:shd w:val="clear" w:color="auto" w:fill="D9D9D9" w:themeFill="background1" w:themeFillShade="D9"/>
          </w:tcPr>
          <w:p w14:paraId="58C17851" w14:textId="77777777" w:rsidR="009578BC" w:rsidRPr="00FA56F3" w:rsidRDefault="009578BC" w:rsidP="009578BC">
            <w:pPr>
              <w:spacing w:before="40" w:after="20"/>
              <w:rPr>
                <w:rFonts w:ascii="Arial Narrow" w:hAnsi="Arial Narrow"/>
                <w:sz w:val="18"/>
                <w:szCs w:val="18"/>
              </w:rPr>
            </w:pPr>
            <w:r w:rsidRPr="00FA56F3">
              <w:rPr>
                <w:rFonts w:ascii="Arial Narrow" w:hAnsi="Arial Narrow"/>
                <w:sz w:val="18"/>
                <w:szCs w:val="18"/>
              </w:rPr>
              <w:t>Miliardi di euro</w:t>
            </w:r>
          </w:p>
        </w:tc>
        <w:tc>
          <w:tcPr>
            <w:tcW w:w="978" w:type="dxa"/>
            <w:shd w:val="clear" w:color="auto" w:fill="auto"/>
            <w:vAlign w:val="center"/>
          </w:tcPr>
          <w:p w14:paraId="1131AC59" w14:textId="14D103F3" w:rsidR="009578BC" w:rsidRPr="00FA56F3" w:rsidRDefault="009578BC" w:rsidP="009578BC">
            <w:pPr>
              <w:spacing w:before="40" w:after="20"/>
              <w:jc w:val="right"/>
              <w:rPr>
                <w:rFonts w:ascii="Arial Narrow" w:hAnsi="Arial Narrow"/>
                <w:sz w:val="18"/>
                <w:szCs w:val="18"/>
              </w:rPr>
            </w:pPr>
            <w:r>
              <w:rPr>
                <w:rFonts w:ascii="Arial Narrow" w:hAnsi="Arial Narrow"/>
                <w:sz w:val="18"/>
                <w:szCs w:val="18"/>
              </w:rPr>
              <w:t>41,9</w:t>
            </w:r>
          </w:p>
        </w:tc>
        <w:tc>
          <w:tcPr>
            <w:tcW w:w="840" w:type="dxa"/>
            <w:shd w:val="clear" w:color="auto" w:fill="D9D9D9" w:themeFill="background1" w:themeFillShade="D9"/>
            <w:vAlign w:val="center"/>
          </w:tcPr>
          <w:p w14:paraId="39AD7B8B" w14:textId="319135BA" w:rsidR="009578BC" w:rsidRPr="00FA56F3" w:rsidRDefault="009578BC" w:rsidP="009578BC">
            <w:pPr>
              <w:spacing w:before="40" w:after="20"/>
              <w:jc w:val="right"/>
              <w:rPr>
                <w:rFonts w:ascii="Arial Narrow" w:hAnsi="Arial Narrow"/>
                <w:sz w:val="18"/>
                <w:szCs w:val="18"/>
              </w:rPr>
            </w:pPr>
            <w:r>
              <w:rPr>
                <w:rFonts w:ascii="Arial Narrow" w:hAnsi="Arial Narrow"/>
                <w:sz w:val="18"/>
                <w:szCs w:val="18"/>
              </w:rPr>
              <w:t>2,4%</w:t>
            </w:r>
          </w:p>
        </w:tc>
        <w:tc>
          <w:tcPr>
            <w:tcW w:w="699" w:type="dxa"/>
            <w:shd w:val="clear" w:color="auto" w:fill="auto"/>
            <w:vAlign w:val="center"/>
          </w:tcPr>
          <w:p w14:paraId="4F695997" w14:textId="2AC7001B" w:rsidR="009578BC" w:rsidRPr="00FA56F3" w:rsidRDefault="009578BC" w:rsidP="009578BC">
            <w:pPr>
              <w:spacing w:before="40" w:after="20"/>
              <w:jc w:val="right"/>
              <w:rPr>
                <w:rFonts w:ascii="Arial Narrow" w:hAnsi="Arial Narrow"/>
                <w:sz w:val="18"/>
                <w:szCs w:val="18"/>
              </w:rPr>
            </w:pPr>
            <w:r>
              <w:rPr>
                <w:rFonts w:ascii="Arial Narrow" w:hAnsi="Arial Narrow"/>
                <w:sz w:val="18"/>
                <w:szCs w:val="18"/>
              </w:rPr>
              <w:t>43,2</w:t>
            </w:r>
          </w:p>
        </w:tc>
        <w:tc>
          <w:tcPr>
            <w:tcW w:w="840" w:type="dxa"/>
            <w:shd w:val="clear" w:color="auto" w:fill="D9D9D9" w:themeFill="background1" w:themeFillShade="D9"/>
            <w:vAlign w:val="center"/>
          </w:tcPr>
          <w:p w14:paraId="179EC462" w14:textId="2F5BD5FD" w:rsidR="009578BC" w:rsidRPr="00FA56F3" w:rsidRDefault="009578BC" w:rsidP="009578BC">
            <w:pPr>
              <w:spacing w:before="40" w:after="20"/>
              <w:jc w:val="right"/>
              <w:rPr>
                <w:rFonts w:ascii="Arial Narrow" w:hAnsi="Arial Narrow"/>
                <w:sz w:val="18"/>
                <w:szCs w:val="18"/>
              </w:rPr>
            </w:pPr>
            <w:r>
              <w:rPr>
                <w:rFonts w:ascii="Arial Narrow" w:hAnsi="Arial Narrow"/>
                <w:sz w:val="18"/>
                <w:szCs w:val="18"/>
              </w:rPr>
              <w:t>2,4%</w:t>
            </w:r>
          </w:p>
        </w:tc>
        <w:tc>
          <w:tcPr>
            <w:tcW w:w="700" w:type="dxa"/>
            <w:shd w:val="clear" w:color="auto" w:fill="auto"/>
            <w:vAlign w:val="center"/>
          </w:tcPr>
          <w:p w14:paraId="40E0A4DD" w14:textId="712D1E01" w:rsidR="009578BC" w:rsidRPr="00FA56F3" w:rsidRDefault="009578BC" w:rsidP="009578BC">
            <w:pPr>
              <w:spacing w:before="40" w:after="20"/>
              <w:jc w:val="right"/>
              <w:rPr>
                <w:rFonts w:ascii="Arial Narrow" w:hAnsi="Arial Narrow"/>
                <w:sz w:val="18"/>
                <w:szCs w:val="18"/>
              </w:rPr>
            </w:pPr>
            <w:r>
              <w:rPr>
                <w:rFonts w:ascii="Arial Narrow" w:hAnsi="Arial Narrow"/>
                <w:sz w:val="18"/>
                <w:szCs w:val="18"/>
              </w:rPr>
              <w:t>43,2</w:t>
            </w:r>
          </w:p>
        </w:tc>
        <w:tc>
          <w:tcPr>
            <w:tcW w:w="839" w:type="dxa"/>
            <w:shd w:val="clear" w:color="auto" w:fill="D9D9D9" w:themeFill="background1" w:themeFillShade="D9"/>
            <w:vAlign w:val="center"/>
          </w:tcPr>
          <w:p w14:paraId="05219425" w14:textId="6AE4F70F" w:rsidR="009578BC" w:rsidRPr="00FA56F3" w:rsidRDefault="009578BC" w:rsidP="009578BC">
            <w:pPr>
              <w:spacing w:before="40" w:after="20"/>
              <w:jc w:val="right"/>
              <w:rPr>
                <w:rFonts w:ascii="Arial Narrow" w:hAnsi="Arial Narrow"/>
                <w:sz w:val="18"/>
                <w:szCs w:val="18"/>
              </w:rPr>
            </w:pPr>
            <w:r>
              <w:rPr>
                <w:rFonts w:ascii="Arial Narrow" w:hAnsi="Arial Narrow"/>
                <w:sz w:val="18"/>
                <w:szCs w:val="18"/>
              </w:rPr>
              <w:t>2,6%</w:t>
            </w:r>
          </w:p>
        </w:tc>
        <w:tc>
          <w:tcPr>
            <w:tcW w:w="840" w:type="dxa"/>
            <w:shd w:val="clear" w:color="auto" w:fill="auto"/>
            <w:vAlign w:val="center"/>
          </w:tcPr>
          <w:p w14:paraId="743D0B75" w14:textId="6CE6ED76" w:rsidR="009578BC" w:rsidRPr="00FA56F3" w:rsidRDefault="009578BC" w:rsidP="00B72CBC">
            <w:pPr>
              <w:spacing w:before="40" w:after="20"/>
              <w:jc w:val="right"/>
              <w:rPr>
                <w:rFonts w:ascii="Arial Narrow" w:hAnsi="Arial Narrow"/>
                <w:sz w:val="18"/>
                <w:szCs w:val="18"/>
              </w:rPr>
            </w:pPr>
            <w:r>
              <w:rPr>
                <w:rFonts w:ascii="Arial Narrow" w:hAnsi="Arial Narrow"/>
                <w:sz w:val="18"/>
                <w:szCs w:val="18"/>
              </w:rPr>
              <w:t>-0,02%</w:t>
            </w:r>
          </w:p>
        </w:tc>
      </w:tr>
    </w:tbl>
    <w:bookmarkEnd w:id="0"/>
    <w:p w14:paraId="06BE4634" w14:textId="79E21D09" w:rsidR="00D665F9" w:rsidRDefault="00996AAD" w:rsidP="005919C6">
      <w:pPr>
        <w:spacing w:before="60"/>
        <w:jc w:val="both"/>
        <w:rPr>
          <w:rFonts w:ascii="Arial Narrow" w:hAnsi="Arial Narrow" w:cs="Arial"/>
          <w:sz w:val="15"/>
          <w:szCs w:val="15"/>
        </w:rPr>
      </w:pPr>
      <w:r>
        <w:rPr>
          <w:rFonts w:ascii="Arial Narrow" w:hAnsi="Arial Narrow" w:cs="Arial"/>
          <w:sz w:val="15"/>
          <w:szCs w:val="15"/>
        </w:rPr>
        <w:t>(a</w:t>
      </w:r>
      <w:r w:rsidR="00D665F9" w:rsidRPr="00D665F9">
        <w:rPr>
          <w:rFonts w:ascii="Arial Narrow" w:hAnsi="Arial Narrow" w:cs="Arial"/>
          <w:sz w:val="15"/>
          <w:szCs w:val="15"/>
        </w:rPr>
        <w:t xml:space="preserve">) </w:t>
      </w:r>
      <w:r w:rsidR="007A682F">
        <w:rPr>
          <w:rFonts w:ascii="Arial Narrow" w:hAnsi="Arial Narrow" w:cs="Arial"/>
          <w:sz w:val="15"/>
          <w:szCs w:val="15"/>
        </w:rPr>
        <w:t>R</w:t>
      </w:r>
      <w:r w:rsidR="00D665F9" w:rsidRPr="00D665F9">
        <w:rPr>
          <w:rFonts w:ascii="Arial Narrow" w:hAnsi="Arial Narrow" w:cs="Arial"/>
          <w:sz w:val="15"/>
          <w:szCs w:val="15"/>
        </w:rPr>
        <w:t xml:space="preserve">apporti degli indicatori fisici con </w:t>
      </w:r>
      <w:r w:rsidR="007A682F">
        <w:rPr>
          <w:rFonts w:ascii="Arial Narrow" w:hAnsi="Arial Narrow" w:cs="Arial"/>
          <w:sz w:val="15"/>
          <w:szCs w:val="15"/>
        </w:rPr>
        <w:t xml:space="preserve">il </w:t>
      </w:r>
      <w:r w:rsidR="00D665F9" w:rsidRPr="00D665F9">
        <w:rPr>
          <w:rFonts w:ascii="Arial Narrow" w:hAnsi="Arial Narrow" w:cs="Arial"/>
          <w:sz w:val="15"/>
          <w:szCs w:val="15"/>
        </w:rPr>
        <w:t xml:space="preserve">Pil in milioni di euro a valori concatenati con anno di riferimento 2015; rapporti degli indicatori monetari con </w:t>
      </w:r>
      <w:r w:rsidR="007A682F">
        <w:rPr>
          <w:rFonts w:ascii="Arial Narrow" w:hAnsi="Arial Narrow" w:cs="Arial"/>
          <w:sz w:val="15"/>
          <w:szCs w:val="15"/>
        </w:rPr>
        <w:t xml:space="preserve">il </w:t>
      </w:r>
      <w:r w:rsidR="00D665F9" w:rsidRPr="00D665F9">
        <w:rPr>
          <w:rFonts w:ascii="Arial Narrow" w:hAnsi="Arial Narrow" w:cs="Arial"/>
          <w:sz w:val="15"/>
          <w:szCs w:val="15"/>
        </w:rPr>
        <w:t xml:space="preserve">Pil in milioni di euro a valori correnti </w:t>
      </w:r>
    </w:p>
    <w:p w14:paraId="6B3B7297" w14:textId="1AC56A85" w:rsidR="004575EC" w:rsidRDefault="00996AAD" w:rsidP="005919C6">
      <w:pPr>
        <w:autoSpaceDE w:val="0"/>
        <w:autoSpaceDN w:val="0"/>
        <w:adjustRightInd w:val="0"/>
        <w:jc w:val="both"/>
        <w:rPr>
          <w:rFonts w:ascii="Arial Narrow" w:hAnsi="Arial Narrow"/>
          <w:sz w:val="15"/>
          <w:szCs w:val="15"/>
        </w:rPr>
      </w:pPr>
      <w:r w:rsidRPr="00444816">
        <w:rPr>
          <w:rFonts w:ascii="Arial Narrow" w:hAnsi="Arial Narrow" w:cs="Arial"/>
          <w:sz w:val="15"/>
          <w:szCs w:val="15"/>
        </w:rPr>
        <w:t xml:space="preserve">Fonte: Istat, </w:t>
      </w:r>
      <w:r w:rsidR="00D665F9">
        <w:rPr>
          <w:rFonts w:ascii="Arial Narrow" w:hAnsi="Arial Narrow" w:cs="Arial"/>
          <w:sz w:val="15"/>
          <w:szCs w:val="15"/>
        </w:rPr>
        <w:t>Conti ambientali</w:t>
      </w:r>
      <w:r w:rsidR="004575EC">
        <w:rPr>
          <w:rFonts w:ascii="Arial Narrow" w:hAnsi="Arial Narrow"/>
          <w:b/>
          <w:sz w:val="15"/>
          <w:szCs w:val="15"/>
        </w:rPr>
        <w:br w:type="page"/>
      </w:r>
    </w:p>
    <w:p w14:paraId="1F2A7F18" w14:textId="77777777" w:rsidR="00014299" w:rsidRPr="004441C2" w:rsidRDefault="00014299" w:rsidP="00B74FF7">
      <w:pPr>
        <w:pStyle w:val="ATitoloTavolaFigura"/>
        <w:spacing w:before="0" w:after="120"/>
        <w:ind w:left="0" w:firstLine="0"/>
        <w:jc w:val="left"/>
        <w:rPr>
          <w:rFonts w:ascii="Arial" w:hAnsi="Arial"/>
          <w:b w:val="0"/>
          <w:sz w:val="22"/>
          <w:szCs w:val="22"/>
        </w:rPr>
      </w:pPr>
    </w:p>
    <w:p w14:paraId="3840C15E" w14:textId="069D83B8" w:rsidR="002078C8" w:rsidRPr="008F73EB" w:rsidRDefault="000809E5" w:rsidP="002078C8">
      <w:pPr>
        <w:tabs>
          <w:tab w:val="left" w:pos="851"/>
          <w:tab w:val="left" w:pos="2575"/>
        </w:tabs>
        <w:autoSpaceDE w:val="0"/>
        <w:autoSpaceDN w:val="0"/>
        <w:adjustRightInd w:val="0"/>
        <w:spacing w:after="120"/>
        <w:ind w:right="570"/>
        <w:rPr>
          <w:rFonts w:ascii="Arial" w:hAnsi="Arial" w:cs="Arial"/>
          <w:b/>
          <w:color w:val="1F497D" w:themeColor="text2"/>
          <w:sz w:val="26"/>
          <w:szCs w:val="26"/>
        </w:rPr>
      </w:pPr>
      <w:r w:rsidRPr="008F73EB">
        <w:rPr>
          <w:rFonts w:ascii="Arial" w:hAnsi="Arial" w:cs="Arial"/>
          <w:b/>
          <w:color w:val="1F497D" w:themeColor="text2"/>
          <w:sz w:val="26"/>
          <w:szCs w:val="26"/>
        </w:rPr>
        <w:t>In contrazione i c</w:t>
      </w:r>
      <w:r w:rsidR="00A65625" w:rsidRPr="008F73EB">
        <w:rPr>
          <w:rFonts w:ascii="Arial" w:hAnsi="Arial" w:cs="Arial"/>
          <w:b/>
          <w:color w:val="1F497D" w:themeColor="text2"/>
          <w:sz w:val="26"/>
          <w:szCs w:val="26"/>
        </w:rPr>
        <w:t>onsumi energetici</w:t>
      </w:r>
      <w:r w:rsidRPr="008F73EB">
        <w:rPr>
          <w:rFonts w:ascii="Arial" w:hAnsi="Arial" w:cs="Arial"/>
          <w:b/>
          <w:color w:val="1F497D" w:themeColor="text2"/>
          <w:sz w:val="26"/>
          <w:szCs w:val="26"/>
        </w:rPr>
        <w:t xml:space="preserve"> delle attività produttive</w:t>
      </w:r>
      <w:r w:rsidR="00240C2B" w:rsidRPr="008F73EB">
        <w:rPr>
          <w:rFonts w:ascii="Arial" w:hAnsi="Arial" w:cs="Arial"/>
          <w:b/>
          <w:color w:val="1F497D" w:themeColor="text2"/>
          <w:sz w:val="26"/>
          <w:szCs w:val="26"/>
        </w:rPr>
        <w:t xml:space="preserve"> e delle famiglie</w:t>
      </w:r>
    </w:p>
    <w:p w14:paraId="4A1F972C" w14:textId="7A1366EF" w:rsidR="000809E5" w:rsidRPr="008F73EB" w:rsidRDefault="00A65625" w:rsidP="00A65625">
      <w:pPr>
        <w:autoSpaceDE w:val="0"/>
        <w:autoSpaceDN w:val="0"/>
        <w:adjustRightInd w:val="0"/>
        <w:spacing w:after="120"/>
        <w:jc w:val="both"/>
        <w:rPr>
          <w:rFonts w:ascii="Arial" w:hAnsi="Arial" w:cs="Arial"/>
          <w:sz w:val="22"/>
          <w:szCs w:val="22"/>
        </w:rPr>
      </w:pPr>
      <w:r w:rsidRPr="008F73EB">
        <w:rPr>
          <w:rFonts w:ascii="Arial" w:hAnsi="Arial" w:cs="Arial"/>
          <w:sz w:val="22"/>
          <w:szCs w:val="22"/>
        </w:rPr>
        <w:t xml:space="preserve">Il fabbisogno complessivo di energia per le attività di produzione e consumo, misurato dal </w:t>
      </w:r>
      <w:r w:rsidR="003E1676">
        <w:rPr>
          <w:rFonts w:ascii="Arial" w:hAnsi="Arial" w:cs="Arial"/>
          <w:sz w:val="22"/>
          <w:szCs w:val="22"/>
        </w:rPr>
        <w:t>Consumo d</w:t>
      </w:r>
      <w:r w:rsidR="005D58EE">
        <w:rPr>
          <w:rFonts w:ascii="Arial" w:hAnsi="Arial" w:cs="Arial"/>
          <w:sz w:val="22"/>
          <w:szCs w:val="22"/>
        </w:rPr>
        <w:t>i e</w:t>
      </w:r>
      <w:r w:rsidR="003E1676" w:rsidRPr="008F73EB">
        <w:rPr>
          <w:rFonts w:ascii="Arial" w:hAnsi="Arial" w:cs="Arial"/>
          <w:sz w:val="22"/>
          <w:szCs w:val="22"/>
        </w:rPr>
        <w:t>nergia</w:t>
      </w:r>
      <w:r w:rsidRPr="008F73EB">
        <w:rPr>
          <w:rFonts w:ascii="Arial" w:hAnsi="Arial" w:cs="Arial"/>
          <w:sz w:val="22"/>
          <w:szCs w:val="22"/>
        </w:rPr>
        <w:t xml:space="preserve"> delle unità residenti (</w:t>
      </w:r>
      <w:r w:rsidRPr="008F73EB">
        <w:rPr>
          <w:rFonts w:ascii="Arial" w:hAnsi="Arial" w:cs="Arial"/>
          <w:i/>
          <w:iCs/>
          <w:sz w:val="22"/>
          <w:szCs w:val="22"/>
        </w:rPr>
        <w:t>Net domestic energy use</w:t>
      </w:r>
      <w:r w:rsidR="000809E5" w:rsidRPr="008F73EB">
        <w:rPr>
          <w:rFonts w:ascii="Arial" w:hAnsi="Arial" w:cs="Arial"/>
          <w:sz w:val="22"/>
          <w:szCs w:val="22"/>
        </w:rPr>
        <w:t>,</w:t>
      </w:r>
      <w:r w:rsidRPr="008F73EB">
        <w:rPr>
          <w:rFonts w:ascii="Arial" w:hAnsi="Arial" w:cs="Arial"/>
          <w:sz w:val="22"/>
          <w:szCs w:val="22"/>
        </w:rPr>
        <w:t xml:space="preserve"> </w:t>
      </w:r>
      <w:r w:rsidR="005D58EE" w:rsidRPr="008F73EB">
        <w:rPr>
          <w:rFonts w:ascii="Arial" w:hAnsi="Arial" w:cs="Arial"/>
          <w:sz w:val="22"/>
          <w:szCs w:val="22"/>
        </w:rPr>
        <w:t>Ndeu</w:t>
      </w:r>
      <w:r w:rsidRPr="008F73EB">
        <w:rPr>
          <w:rFonts w:ascii="Arial" w:hAnsi="Arial" w:cs="Arial"/>
          <w:sz w:val="22"/>
          <w:szCs w:val="22"/>
        </w:rPr>
        <w:t xml:space="preserve">), si è ridotto dell’8,8% tra il 2019 e il 2020, a causa della caduta dell’attività economica e delle limitazioni agli spostamenti, attestandosi a 6.477 mila terajoule (era pari a 7.102 nel 2019). </w:t>
      </w:r>
    </w:p>
    <w:p w14:paraId="24EE1D14" w14:textId="0378C08F" w:rsidR="00A65625" w:rsidRPr="008F73EB" w:rsidRDefault="00A65625" w:rsidP="00A65625">
      <w:pPr>
        <w:autoSpaceDE w:val="0"/>
        <w:autoSpaceDN w:val="0"/>
        <w:adjustRightInd w:val="0"/>
        <w:spacing w:after="120"/>
        <w:jc w:val="both"/>
        <w:rPr>
          <w:rFonts w:ascii="Arial" w:hAnsi="Arial" w:cs="Arial"/>
          <w:sz w:val="22"/>
          <w:szCs w:val="22"/>
        </w:rPr>
      </w:pPr>
      <w:r w:rsidRPr="008F73EB">
        <w:rPr>
          <w:rFonts w:ascii="Arial" w:hAnsi="Arial" w:cs="Arial"/>
          <w:sz w:val="22"/>
          <w:szCs w:val="22"/>
        </w:rPr>
        <w:t xml:space="preserve">Sulla </w:t>
      </w:r>
      <w:r w:rsidR="005B6546" w:rsidRPr="008F73EB">
        <w:rPr>
          <w:rFonts w:ascii="Arial" w:hAnsi="Arial" w:cs="Arial"/>
          <w:sz w:val="22"/>
          <w:szCs w:val="22"/>
        </w:rPr>
        <w:t>contra</w:t>
      </w:r>
      <w:r w:rsidRPr="008F73EB">
        <w:rPr>
          <w:rFonts w:ascii="Arial" w:hAnsi="Arial" w:cs="Arial"/>
          <w:sz w:val="22"/>
          <w:szCs w:val="22"/>
        </w:rPr>
        <w:t xml:space="preserve">zione complessiva </w:t>
      </w:r>
      <w:r w:rsidR="005B6546" w:rsidRPr="008F73EB">
        <w:rPr>
          <w:rFonts w:ascii="Arial" w:hAnsi="Arial" w:cs="Arial"/>
          <w:sz w:val="22"/>
          <w:szCs w:val="22"/>
        </w:rPr>
        <w:t xml:space="preserve">dei consumi energetici </w:t>
      </w:r>
      <w:r w:rsidRPr="008F73EB">
        <w:rPr>
          <w:rFonts w:ascii="Arial" w:hAnsi="Arial" w:cs="Arial"/>
          <w:sz w:val="22"/>
          <w:szCs w:val="22"/>
        </w:rPr>
        <w:t xml:space="preserve">ha inciso </w:t>
      </w:r>
      <w:r w:rsidR="005B6546" w:rsidRPr="008F73EB">
        <w:rPr>
          <w:rFonts w:ascii="Arial" w:hAnsi="Arial" w:cs="Arial"/>
          <w:sz w:val="22"/>
          <w:szCs w:val="22"/>
        </w:rPr>
        <w:t>quella</w:t>
      </w:r>
      <w:r w:rsidRPr="008F73EB">
        <w:rPr>
          <w:rFonts w:ascii="Arial" w:hAnsi="Arial" w:cs="Arial"/>
          <w:sz w:val="22"/>
          <w:szCs w:val="22"/>
        </w:rPr>
        <w:t xml:space="preserve"> delle attività produttive </w:t>
      </w:r>
      <w:r w:rsidR="00A903BA" w:rsidRPr="008F73EB">
        <w:rPr>
          <w:rFonts w:ascii="Arial" w:hAnsi="Arial" w:cs="Arial"/>
          <w:sz w:val="22"/>
          <w:szCs w:val="22"/>
        </w:rPr>
        <w:t xml:space="preserve">in misura </w:t>
      </w:r>
      <w:r w:rsidRPr="008F73EB">
        <w:rPr>
          <w:rFonts w:ascii="Arial" w:hAnsi="Arial" w:cs="Arial"/>
          <w:sz w:val="22"/>
          <w:szCs w:val="22"/>
        </w:rPr>
        <w:t xml:space="preserve">pari a 416 mila terajoule (-8,5%), mentre </w:t>
      </w:r>
      <w:r w:rsidR="005B6546" w:rsidRPr="008F73EB">
        <w:rPr>
          <w:rFonts w:ascii="Arial" w:hAnsi="Arial" w:cs="Arial"/>
          <w:sz w:val="22"/>
          <w:szCs w:val="22"/>
        </w:rPr>
        <w:t xml:space="preserve">per </w:t>
      </w:r>
      <w:r w:rsidRPr="008F73EB">
        <w:rPr>
          <w:rFonts w:ascii="Arial" w:hAnsi="Arial" w:cs="Arial"/>
          <w:sz w:val="22"/>
          <w:szCs w:val="22"/>
        </w:rPr>
        <w:t xml:space="preserve">le famiglie </w:t>
      </w:r>
      <w:r w:rsidR="005B6546" w:rsidRPr="008F73EB">
        <w:rPr>
          <w:rFonts w:ascii="Arial" w:hAnsi="Arial" w:cs="Arial"/>
          <w:sz w:val="22"/>
          <w:szCs w:val="22"/>
        </w:rPr>
        <w:t>si è registrato un calo</w:t>
      </w:r>
      <w:r w:rsidRPr="008F73EB">
        <w:rPr>
          <w:rFonts w:ascii="Arial" w:hAnsi="Arial" w:cs="Arial"/>
          <w:sz w:val="22"/>
          <w:szCs w:val="22"/>
        </w:rPr>
        <w:t xml:space="preserve"> di 208 mila terajoule </w:t>
      </w:r>
      <w:r w:rsidR="00383D7F">
        <w:rPr>
          <w:rFonts w:ascii="Arial" w:hAnsi="Arial" w:cs="Arial"/>
          <w:sz w:val="22"/>
          <w:szCs w:val="22"/>
        </w:rPr>
        <w:br/>
      </w:r>
      <w:r w:rsidRPr="008F73EB">
        <w:rPr>
          <w:rFonts w:ascii="Arial" w:hAnsi="Arial" w:cs="Arial"/>
          <w:sz w:val="22"/>
          <w:szCs w:val="22"/>
        </w:rPr>
        <w:t>(-9,5%). Pressoché stabile (+0,3%) l’intensità dei consumi energetici rispetto al Pil, pari nel 2020 a 4,12 terajoule per milione di euro (valori concatenati con anno di riferimento 2015).</w:t>
      </w:r>
    </w:p>
    <w:p w14:paraId="5DDE6194" w14:textId="75FEA4D5" w:rsidR="00A65625" w:rsidRPr="008F73EB" w:rsidRDefault="008F73EB" w:rsidP="00A65625">
      <w:pPr>
        <w:autoSpaceDE w:val="0"/>
        <w:autoSpaceDN w:val="0"/>
        <w:adjustRightInd w:val="0"/>
        <w:spacing w:after="120"/>
        <w:jc w:val="both"/>
        <w:rPr>
          <w:rFonts w:ascii="Arial" w:hAnsi="Arial" w:cs="Arial"/>
          <w:sz w:val="22"/>
          <w:szCs w:val="22"/>
        </w:rPr>
      </w:pPr>
      <w:r>
        <w:rPr>
          <w:rFonts w:ascii="Arial" w:hAnsi="Arial" w:cs="Arial"/>
          <w:sz w:val="22"/>
          <w:szCs w:val="22"/>
        </w:rPr>
        <w:t>Ne</w:t>
      </w:r>
      <w:r w:rsidR="005B6546" w:rsidRPr="008F73EB">
        <w:rPr>
          <w:rFonts w:ascii="Arial" w:hAnsi="Arial" w:cs="Arial"/>
          <w:sz w:val="22"/>
          <w:szCs w:val="22"/>
        </w:rPr>
        <w:t xml:space="preserve">lla </w:t>
      </w:r>
      <w:r w:rsidR="00A65625" w:rsidRPr="008F73EB">
        <w:rPr>
          <w:rFonts w:ascii="Arial" w:hAnsi="Arial" w:cs="Arial"/>
          <w:sz w:val="22"/>
          <w:szCs w:val="22"/>
        </w:rPr>
        <w:t>dinamica dei consumi energetici delle famiglie</w:t>
      </w:r>
      <w:r w:rsidR="005B6546" w:rsidRPr="008F73EB">
        <w:rPr>
          <w:rFonts w:ascii="Arial" w:hAnsi="Arial" w:cs="Arial"/>
          <w:sz w:val="22"/>
          <w:szCs w:val="22"/>
        </w:rPr>
        <w:t xml:space="preserve"> </w:t>
      </w:r>
      <w:r w:rsidR="00A65625" w:rsidRPr="008F73EB">
        <w:rPr>
          <w:rFonts w:ascii="Arial" w:hAnsi="Arial" w:cs="Arial"/>
          <w:sz w:val="22"/>
          <w:szCs w:val="22"/>
        </w:rPr>
        <w:t xml:space="preserve">prevale nettamente </w:t>
      </w:r>
      <w:r w:rsidR="005B6546" w:rsidRPr="008F73EB">
        <w:rPr>
          <w:rFonts w:ascii="Arial" w:hAnsi="Arial" w:cs="Arial"/>
          <w:sz w:val="22"/>
          <w:szCs w:val="22"/>
        </w:rPr>
        <w:t>la riduzione del</w:t>
      </w:r>
      <w:r w:rsidR="00A65625" w:rsidRPr="008F73EB">
        <w:rPr>
          <w:rFonts w:ascii="Arial" w:hAnsi="Arial" w:cs="Arial"/>
          <w:sz w:val="22"/>
          <w:szCs w:val="22"/>
        </w:rPr>
        <w:t xml:space="preserve"> trasporto (189 mila terajoule, -20,9%) </w:t>
      </w:r>
      <w:r w:rsidR="005B6546" w:rsidRPr="008F73EB">
        <w:rPr>
          <w:rFonts w:ascii="Arial" w:hAnsi="Arial" w:cs="Arial"/>
          <w:sz w:val="22"/>
          <w:szCs w:val="22"/>
        </w:rPr>
        <w:t>dovuta alle</w:t>
      </w:r>
      <w:r w:rsidR="00A65625" w:rsidRPr="008F73EB">
        <w:rPr>
          <w:rFonts w:ascii="Arial" w:hAnsi="Arial" w:cs="Arial"/>
          <w:sz w:val="22"/>
          <w:szCs w:val="22"/>
        </w:rPr>
        <w:t xml:space="preserve"> chiusure e </w:t>
      </w:r>
      <w:r w:rsidR="005B6546" w:rsidRPr="008F73EB">
        <w:rPr>
          <w:rFonts w:ascii="Arial" w:hAnsi="Arial" w:cs="Arial"/>
          <w:sz w:val="22"/>
          <w:szCs w:val="22"/>
        </w:rPr>
        <w:t>a</w:t>
      </w:r>
      <w:r w:rsidR="00A65625" w:rsidRPr="008F73EB">
        <w:rPr>
          <w:rFonts w:ascii="Arial" w:hAnsi="Arial" w:cs="Arial"/>
          <w:sz w:val="22"/>
          <w:szCs w:val="22"/>
        </w:rPr>
        <w:t xml:space="preserve">ll’adozione diffusa del lavoro a distanza. </w:t>
      </w:r>
      <w:r w:rsidR="005B6546" w:rsidRPr="008F73EB">
        <w:rPr>
          <w:rFonts w:ascii="Arial" w:hAnsi="Arial" w:cs="Arial"/>
          <w:sz w:val="22"/>
          <w:szCs w:val="22"/>
        </w:rPr>
        <w:t>I</w:t>
      </w:r>
      <w:r w:rsidR="00A65625" w:rsidRPr="008F73EB">
        <w:rPr>
          <w:rFonts w:ascii="Arial" w:hAnsi="Arial" w:cs="Arial"/>
          <w:sz w:val="22"/>
          <w:szCs w:val="22"/>
        </w:rPr>
        <w:t xml:space="preserve"> consumi in ambito domestico, per riscaldamento e altre finalità, </w:t>
      </w:r>
      <w:r w:rsidR="005B6546" w:rsidRPr="008F73EB">
        <w:rPr>
          <w:rFonts w:ascii="Arial" w:hAnsi="Arial" w:cs="Arial"/>
          <w:sz w:val="22"/>
          <w:szCs w:val="22"/>
        </w:rPr>
        <w:t xml:space="preserve">registrano una diminuzione </w:t>
      </w:r>
      <w:r w:rsidR="00A65625" w:rsidRPr="008F73EB">
        <w:rPr>
          <w:rFonts w:ascii="Arial" w:hAnsi="Arial" w:cs="Arial"/>
          <w:sz w:val="22"/>
          <w:szCs w:val="22"/>
        </w:rPr>
        <w:t xml:space="preserve">di 19 mila terajoule </w:t>
      </w:r>
      <w:r w:rsidR="007A682F" w:rsidRPr="008F73EB">
        <w:rPr>
          <w:rFonts w:ascii="Arial" w:hAnsi="Arial" w:cs="Arial"/>
          <w:sz w:val="22"/>
          <w:szCs w:val="22"/>
        </w:rPr>
        <w:br/>
      </w:r>
      <w:r w:rsidR="00A65625" w:rsidRPr="008F73EB">
        <w:rPr>
          <w:rFonts w:ascii="Arial" w:hAnsi="Arial" w:cs="Arial"/>
          <w:sz w:val="22"/>
          <w:szCs w:val="22"/>
        </w:rPr>
        <w:t>(</w:t>
      </w:r>
      <w:r w:rsidR="005B6546" w:rsidRPr="008F73EB">
        <w:rPr>
          <w:rFonts w:ascii="Arial" w:hAnsi="Arial" w:cs="Arial"/>
          <w:sz w:val="22"/>
          <w:szCs w:val="22"/>
        </w:rPr>
        <w:t>-</w:t>
      </w:r>
      <w:r w:rsidR="00A65625" w:rsidRPr="008F73EB">
        <w:rPr>
          <w:rFonts w:ascii="Arial" w:hAnsi="Arial" w:cs="Arial"/>
          <w:sz w:val="22"/>
          <w:szCs w:val="22"/>
        </w:rPr>
        <w:t>1,5%).</w:t>
      </w:r>
    </w:p>
    <w:p w14:paraId="6844C41C" w14:textId="686F57ED" w:rsidR="007A682F" w:rsidRPr="008F73EB" w:rsidRDefault="00A65625" w:rsidP="00A65625">
      <w:pPr>
        <w:autoSpaceDE w:val="0"/>
        <w:autoSpaceDN w:val="0"/>
        <w:adjustRightInd w:val="0"/>
        <w:spacing w:after="120"/>
        <w:jc w:val="both"/>
        <w:rPr>
          <w:rFonts w:ascii="Arial" w:hAnsi="Arial" w:cs="Arial"/>
          <w:sz w:val="22"/>
          <w:szCs w:val="22"/>
        </w:rPr>
      </w:pPr>
      <w:r w:rsidRPr="008F73EB">
        <w:rPr>
          <w:rFonts w:ascii="Arial" w:hAnsi="Arial" w:cs="Arial"/>
          <w:sz w:val="22"/>
          <w:szCs w:val="22"/>
        </w:rPr>
        <w:t>Tra le attività produttive, il settore dei Servizi nel suo complesso (Ateco G-S)</w:t>
      </w:r>
      <w:r w:rsidR="00D037E1" w:rsidRPr="008F73EB">
        <w:rPr>
          <w:rFonts w:ascii="Arial" w:hAnsi="Arial" w:cs="Arial"/>
          <w:sz w:val="22"/>
          <w:szCs w:val="22"/>
        </w:rPr>
        <w:t>,</w:t>
      </w:r>
      <w:r w:rsidRPr="008F73EB">
        <w:rPr>
          <w:rFonts w:ascii="Arial" w:hAnsi="Arial" w:cs="Arial"/>
          <w:sz w:val="22"/>
          <w:szCs w:val="22"/>
        </w:rPr>
        <w:t xml:space="preserve"> con 226 mila terajoule</w:t>
      </w:r>
      <w:r w:rsidR="005B6546" w:rsidRPr="008F73EB">
        <w:rPr>
          <w:rFonts w:ascii="Arial" w:hAnsi="Arial" w:cs="Arial"/>
          <w:sz w:val="22"/>
          <w:szCs w:val="22"/>
        </w:rPr>
        <w:t xml:space="preserve"> in meno</w:t>
      </w:r>
      <w:r w:rsidRPr="008F73EB">
        <w:rPr>
          <w:rFonts w:ascii="Arial" w:hAnsi="Arial" w:cs="Arial"/>
          <w:sz w:val="22"/>
          <w:szCs w:val="22"/>
        </w:rPr>
        <w:t xml:space="preserve">, </w:t>
      </w:r>
      <w:r w:rsidR="001936D1" w:rsidRPr="008F73EB">
        <w:rPr>
          <w:rFonts w:ascii="Arial" w:hAnsi="Arial" w:cs="Arial"/>
          <w:sz w:val="22"/>
          <w:szCs w:val="22"/>
        </w:rPr>
        <w:t>ha contribuito più degli altri settori</w:t>
      </w:r>
      <w:r w:rsidRPr="008F73EB">
        <w:rPr>
          <w:rFonts w:ascii="Arial" w:hAnsi="Arial" w:cs="Arial"/>
          <w:sz w:val="22"/>
          <w:szCs w:val="22"/>
        </w:rPr>
        <w:t xml:space="preserve"> alla contrazione dei consumi di energia, registrando anche la maggiore riduzione percentuale tra il 2019 e il 2020</w:t>
      </w:r>
      <w:r w:rsidR="007A682F" w:rsidRPr="008F73EB">
        <w:rPr>
          <w:rFonts w:ascii="Arial" w:hAnsi="Arial" w:cs="Arial"/>
          <w:sz w:val="22"/>
          <w:szCs w:val="22"/>
        </w:rPr>
        <w:t xml:space="preserve"> (</w:t>
      </w:r>
      <w:r w:rsidRPr="008F73EB">
        <w:rPr>
          <w:rFonts w:ascii="Arial" w:hAnsi="Arial" w:cs="Arial"/>
          <w:sz w:val="22"/>
          <w:szCs w:val="22"/>
        </w:rPr>
        <w:t>-13,2%</w:t>
      </w:r>
      <w:r w:rsidR="007A682F" w:rsidRPr="008F73EB">
        <w:rPr>
          <w:rFonts w:ascii="Arial" w:hAnsi="Arial" w:cs="Arial"/>
          <w:sz w:val="22"/>
          <w:szCs w:val="22"/>
        </w:rPr>
        <w:t>)</w:t>
      </w:r>
      <w:r w:rsidRPr="008F73EB">
        <w:rPr>
          <w:rFonts w:ascii="Arial" w:hAnsi="Arial" w:cs="Arial"/>
          <w:sz w:val="22"/>
          <w:szCs w:val="22"/>
        </w:rPr>
        <w:t xml:space="preserve">. L’attività che ha visto la maggiore riduzione, in termini sia assoluti (-80 mila </w:t>
      </w:r>
      <w:r w:rsidR="007A682F" w:rsidRPr="008F73EB">
        <w:rPr>
          <w:rFonts w:ascii="Arial" w:hAnsi="Arial" w:cs="Arial"/>
          <w:sz w:val="22"/>
          <w:szCs w:val="22"/>
        </w:rPr>
        <w:t>t</w:t>
      </w:r>
      <w:r w:rsidRPr="008F73EB">
        <w:rPr>
          <w:rFonts w:ascii="Arial" w:hAnsi="Arial" w:cs="Arial"/>
          <w:sz w:val="22"/>
          <w:szCs w:val="22"/>
        </w:rPr>
        <w:t xml:space="preserve">erajoule circa) sia percentuali (-62,8%) è quella del trasporto aereo (Ateco 51). </w:t>
      </w:r>
    </w:p>
    <w:p w14:paraId="37525863" w14:textId="6FE97DAF" w:rsidR="00A65625" w:rsidRPr="008F73EB" w:rsidRDefault="00A65625" w:rsidP="00A65625">
      <w:pPr>
        <w:autoSpaceDE w:val="0"/>
        <w:autoSpaceDN w:val="0"/>
        <w:adjustRightInd w:val="0"/>
        <w:spacing w:after="120"/>
        <w:jc w:val="both"/>
        <w:rPr>
          <w:rFonts w:ascii="Arial" w:hAnsi="Arial" w:cs="Arial"/>
          <w:sz w:val="22"/>
          <w:szCs w:val="22"/>
        </w:rPr>
      </w:pPr>
      <w:r w:rsidRPr="008F73EB">
        <w:rPr>
          <w:rFonts w:ascii="Arial" w:hAnsi="Arial" w:cs="Arial"/>
          <w:sz w:val="22"/>
          <w:szCs w:val="22"/>
        </w:rPr>
        <w:t>In un contesto di riduzione dei consumi pressoché generalizzato, fanno eccezione attività che</w:t>
      </w:r>
      <w:r w:rsidR="007A682F" w:rsidRPr="008F73EB">
        <w:rPr>
          <w:rFonts w:ascii="Arial" w:hAnsi="Arial" w:cs="Arial"/>
          <w:sz w:val="22"/>
          <w:szCs w:val="22"/>
        </w:rPr>
        <w:t xml:space="preserve"> risultano invece in crescita:</w:t>
      </w:r>
      <w:r w:rsidRPr="008F73EB">
        <w:rPr>
          <w:rFonts w:ascii="Arial" w:hAnsi="Arial" w:cs="Arial"/>
          <w:sz w:val="22"/>
          <w:szCs w:val="22"/>
        </w:rPr>
        <w:t xml:space="preserve"> tra queste figurano quelle che hanno svolto un ruolo di contrasto alla crisi pandemica, quali i servizi sanitari (Ateco 86, +21,2%), l’Amministrazione Pubblica (Ateco O, +9,9%) e la ricerca scientifica (Ateco 72, +4,4%). </w:t>
      </w:r>
    </w:p>
    <w:p w14:paraId="4C3B743C" w14:textId="4AFE5AC0" w:rsidR="004441C2" w:rsidRDefault="00A65625" w:rsidP="00A65625">
      <w:pPr>
        <w:autoSpaceDE w:val="0"/>
        <w:autoSpaceDN w:val="0"/>
        <w:adjustRightInd w:val="0"/>
        <w:spacing w:after="120"/>
        <w:jc w:val="both"/>
        <w:rPr>
          <w:rFonts w:ascii="Arial" w:hAnsi="Arial" w:cs="Arial"/>
          <w:sz w:val="22"/>
          <w:szCs w:val="22"/>
        </w:rPr>
      </w:pPr>
      <w:r w:rsidRPr="008F73EB">
        <w:rPr>
          <w:rFonts w:ascii="Arial" w:hAnsi="Arial" w:cs="Arial"/>
          <w:sz w:val="22"/>
          <w:szCs w:val="22"/>
        </w:rPr>
        <w:t xml:space="preserve">Nel settore dell’Industria (Ateco B-F), è soprattutto la contrazione del Manifatturiero (Ateco C, -123 mila terajoule, pari a </w:t>
      </w:r>
      <w:r w:rsidR="007A682F" w:rsidRPr="008F73EB">
        <w:rPr>
          <w:rFonts w:ascii="Arial" w:hAnsi="Arial" w:cs="Arial"/>
          <w:sz w:val="22"/>
          <w:szCs w:val="22"/>
        </w:rPr>
        <w:t>-</w:t>
      </w:r>
      <w:r w:rsidRPr="008F73EB">
        <w:rPr>
          <w:rFonts w:ascii="Arial" w:hAnsi="Arial" w:cs="Arial"/>
          <w:sz w:val="22"/>
          <w:szCs w:val="22"/>
        </w:rPr>
        <w:t>6,8%) a incidere sul calo complessivo dei consumi energetici (-189 mila terajoule</w:t>
      </w:r>
      <w:r w:rsidR="00423A7F" w:rsidRPr="008F73EB">
        <w:rPr>
          <w:rFonts w:ascii="Arial" w:hAnsi="Arial" w:cs="Arial"/>
          <w:sz w:val="22"/>
          <w:szCs w:val="22"/>
        </w:rPr>
        <w:t>;</w:t>
      </w:r>
      <w:r w:rsidR="00423A7F" w:rsidRPr="008F73EB">
        <w:rPr>
          <w:rFonts w:ascii="Arial" w:hAnsi="Arial" w:cs="Arial"/>
          <w:sz w:val="22"/>
          <w:szCs w:val="22"/>
        </w:rPr>
        <w:br/>
      </w:r>
      <w:r w:rsidRPr="008F73EB">
        <w:rPr>
          <w:rFonts w:ascii="Arial" w:hAnsi="Arial" w:cs="Arial"/>
          <w:sz w:val="22"/>
          <w:szCs w:val="22"/>
        </w:rPr>
        <w:t xml:space="preserve"> -6,2%), anche se in termini percentuali la riduzione più pronunciata interessa l’Industria estrattiva</w:t>
      </w:r>
      <w:r w:rsidRPr="00A65625">
        <w:rPr>
          <w:rFonts w:ascii="Arial" w:hAnsi="Arial" w:cs="Arial"/>
          <w:sz w:val="22"/>
          <w:szCs w:val="22"/>
        </w:rPr>
        <w:t xml:space="preserve"> (Ateco B -8,2%).</w:t>
      </w:r>
    </w:p>
    <w:p w14:paraId="499C640C" w14:textId="667A8E32" w:rsidR="003741D7" w:rsidRDefault="003741D7" w:rsidP="00B76462">
      <w:pPr>
        <w:autoSpaceDE w:val="0"/>
        <w:autoSpaceDN w:val="0"/>
        <w:adjustRightInd w:val="0"/>
        <w:spacing w:after="120"/>
        <w:jc w:val="both"/>
        <w:rPr>
          <w:rFonts w:ascii="Arial" w:hAnsi="Arial" w:cs="Arial"/>
          <w:sz w:val="22"/>
          <w:szCs w:val="22"/>
        </w:rPr>
      </w:pPr>
    </w:p>
    <w:p w14:paraId="06AE0C6E" w14:textId="368535CB" w:rsidR="00B2182B" w:rsidRDefault="00B2182B" w:rsidP="00B76462">
      <w:pPr>
        <w:autoSpaceDE w:val="0"/>
        <w:autoSpaceDN w:val="0"/>
        <w:adjustRightInd w:val="0"/>
        <w:spacing w:after="120"/>
        <w:jc w:val="both"/>
        <w:rPr>
          <w:rFonts w:ascii="Arial" w:hAnsi="Arial" w:cs="Arial"/>
          <w:sz w:val="22"/>
          <w:szCs w:val="22"/>
        </w:rPr>
      </w:pPr>
    </w:p>
    <w:p w14:paraId="2F6D7760" w14:textId="0F65A1A0" w:rsidR="00B2182B" w:rsidRDefault="00B2182B" w:rsidP="00B76462">
      <w:pPr>
        <w:autoSpaceDE w:val="0"/>
        <w:autoSpaceDN w:val="0"/>
        <w:adjustRightInd w:val="0"/>
        <w:spacing w:after="120"/>
        <w:jc w:val="both"/>
        <w:rPr>
          <w:rFonts w:ascii="Arial" w:hAnsi="Arial" w:cs="Arial"/>
          <w:sz w:val="22"/>
          <w:szCs w:val="22"/>
        </w:rPr>
      </w:pPr>
    </w:p>
    <w:p w14:paraId="48F634DE" w14:textId="77777777" w:rsidR="00B2182B" w:rsidRDefault="00B2182B" w:rsidP="00B76462">
      <w:pPr>
        <w:autoSpaceDE w:val="0"/>
        <w:autoSpaceDN w:val="0"/>
        <w:adjustRightInd w:val="0"/>
        <w:spacing w:after="120"/>
        <w:jc w:val="both"/>
        <w:rPr>
          <w:rFonts w:ascii="Arial" w:hAnsi="Arial" w:cs="Arial"/>
          <w:sz w:val="22"/>
          <w:szCs w:val="22"/>
        </w:rPr>
      </w:pPr>
    </w:p>
    <w:p w14:paraId="64D11FC4" w14:textId="71AD7FC1" w:rsidR="003741D7" w:rsidRDefault="003741D7" w:rsidP="00B76462">
      <w:pPr>
        <w:autoSpaceDE w:val="0"/>
        <w:autoSpaceDN w:val="0"/>
        <w:adjustRightInd w:val="0"/>
        <w:spacing w:after="120"/>
        <w:jc w:val="both"/>
        <w:rPr>
          <w:rFonts w:ascii="Arial" w:hAnsi="Arial" w:cs="Arial"/>
          <w:sz w:val="22"/>
          <w:szCs w:val="22"/>
        </w:rPr>
      </w:pPr>
    </w:p>
    <w:p w14:paraId="280AF192" w14:textId="39754901" w:rsidR="003741D7" w:rsidRDefault="003741D7" w:rsidP="00B76462">
      <w:pPr>
        <w:autoSpaceDE w:val="0"/>
        <w:autoSpaceDN w:val="0"/>
        <w:adjustRightInd w:val="0"/>
        <w:spacing w:after="120"/>
        <w:jc w:val="both"/>
        <w:rPr>
          <w:rFonts w:ascii="Arial" w:hAnsi="Arial" w:cs="Arial"/>
          <w:sz w:val="22"/>
          <w:szCs w:val="22"/>
        </w:rPr>
      </w:pPr>
    </w:p>
    <w:p w14:paraId="637E8DAB" w14:textId="621086F4" w:rsidR="001C7225" w:rsidRDefault="001C7225" w:rsidP="00423A7F">
      <w:pPr>
        <w:autoSpaceDE w:val="0"/>
        <w:autoSpaceDN w:val="0"/>
        <w:adjustRightInd w:val="0"/>
        <w:jc w:val="both"/>
        <w:rPr>
          <w:rFonts w:ascii="Arial" w:hAnsi="Arial" w:cs="Arial"/>
          <w:sz w:val="22"/>
          <w:szCs w:val="22"/>
        </w:rPr>
      </w:pPr>
    </w:p>
    <w:p w14:paraId="2F163328" w14:textId="77777777" w:rsidR="00423A7F" w:rsidRPr="001A2AD5" w:rsidRDefault="00423A7F" w:rsidP="008F73EB">
      <w:pPr>
        <w:autoSpaceDE w:val="0"/>
        <w:autoSpaceDN w:val="0"/>
        <w:adjustRightInd w:val="0"/>
        <w:jc w:val="both"/>
        <w:rPr>
          <w:rFonts w:ascii="Arial" w:hAnsi="Arial" w:cs="Arial"/>
          <w:sz w:val="28"/>
          <w:szCs w:val="28"/>
        </w:rPr>
      </w:pPr>
    </w:p>
    <w:p w14:paraId="5F80FFE3" w14:textId="0F7D5492" w:rsidR="008D29BB" w:rsidRDefault="002078C8" w:rsidP="005A6FF6">
      <w:pPr>
        <w:rPr>
          <w:rFonts w:ascii="Arial Narrow" w:hAnsi="Arial Narrow"/>
          <w:iCs/>
          <w:noProof/>
          <w:color w:val="1F497D"/>
        </w:rPr>
      </w:pPr>
      <w:r w:rsidRPr="002C37F9">
        <w:rPr>
          <w:rFonts w:ascii="Arial Black" w:hAnsi="Arial Black" w:cs="Arial"/>
          <w:iCs/>
          <w:noProof/>
          <w:color w:val="1F497D" w:themeColor="text2"/>
          <w:sz w:val="22"/>
          <w:szCs w:val="22"/>
        </w:rPr>
        <w:t xml:space="preserve">FIGURA </w:t>
      </w:r>
      <w:r>
        <w:rPr>
          <w:rFonts w:ascii="Arial Black" w:hAnsi="Arial Black" w:cs="Arial"/>
          <w:iCs/>
          <w:noProof/>
          <w:color w:val="1F497D" w:themeColor="text2"/>
          <w:sz w:val="22"/>
          <w:szCs w:val="22"/>
        </w:rPr>
        <w:t>1</w:t>
      </w:r>
      <w:r w:rsidRPr="002B47CC">
        <w:rPr>
          <w:rFonts w:ascii="Arial Black" w:hAnsi="Arial Black" w:cs="Arial"/>
          <w:iCs/>
          <w:noProof/>
          <w:color w:val="1F497D" w:themeColor="text2"/>
          <w:sz w:val="22"/>
          <w:szCs w:val="22"/>
        </w:rPr>
        <w:t>.</w:t>
      </w:r>
      <w:r w:rsidRPr="002C37F9">
        <w:rPr>
          <w:rFonts w:ascii="Arial Narrow" w:hAnsi="Arial Narrow" w:cs="Arial"/>
          <w:b/>
          <w:iCs/>
          <w:noProof/>
          <w:color w:val="1F497D" w:themeColor="text2"/>
          <w:sz w:val="22"/>
          <w:szCs w:val="22"/>
        </w:rPr>
        <w:t xml:space="preserve"> </w:t>
      </w:r>
      <w:r w:rsidR="008D29BB" w:rsidRPr="00106D7B">
        <w:rPr>
          <w:rFonts w:ascii="Arial Narrow" w:hAnsi="Arial Narrow"/>
          <w:iCs/>
          <w:noProof/>
          <w:color w:val="1F497D"/>
        </w:rPr>
        <w:t>“</w:t>
      </w:r>
      <w:r w:rsidR="008D29BB" w:rsidRPr="00701F58">
        <w:rPr>
          <w:rFonts w:ascii="Arial Narrow" w:hAnsi="Arial Narrow"/>
          <w:b/>
          <w:iCs/>
          <w:noProof/>
          <w:color w:val="1F497D" w:themeColor="text2"/>
        </w:rPr>
        <w:t>NET DOMESTIC ENERGY USE” PER SETTORE ECONOMICO E FAMIGLIE.</w:t>
      </w:r>
    </w:p>
    <w:p w14:paraId="72E580DA" w14:textId="222A7E0B" w:rsidR="008D29BB" w:rsidRDefault="008D29BB" w:rsidP="00BA02B1">
      <w:pPr>
        <w:keepNext/>
        <w:tabs>
          <w:tab w:val="left" w:pos="900"/>
        </w:tabs>
        <w:spacing w:after="120"/>
        <w:rPr>
          <w:rFonts w:ascii="Arial Narrow" w:hAnsi="Arial Narrow"/>
          <w:iCs/>
          <w:noProof/>
          <w:color w:val="1F497D"/>
        </w:rPr>
      </w:pPr>
      <w:r w:rsidRPr="00C735EC">
        <w:rPr>
          <w:rFonts w:ascii="Arial Narrow" w:hAnsi="Arial Narrow"/>
          <w:iCs/>
          <w:noProof/>
          <w:color w:val="1F497D"/>
        </w:rPr>
        <w:t>Anni 20</w:t>
      </w:r>
      <w:r>
        <w:rPr>
          <w:rFonts w:ascii="Arial Narrow" w:hAnsi="Arial Narrow"/>
          <w:iCs/>
          <w:noProof/>
          <w:color w:val="1F497D"/>
        </w:rPr>
        <w:t>19</w:t>
      </w:r>
      <w:r w:rsidRPr="00C735EC">
        <w:rPr>
          <w:rFonts w:ascii="Arial Narrow" w:hAnsi="Arial Narrow"/>
          <w:iCs/>
          <w:noProof/>
          <w:color w:val="1F497D"/>
        </w:rPr>
        <w:t xml:space="preserve">-2020, </w:t>
      </w:r>
      <w:r w:rsidR="00D502CC">
        <w:rPr>
          <w:rFonts w:ascii="Arial Narrow" w:hAnsi="Arial Narrow"/>
          <w:iCs/>
          <w:noProof/>
          <w:color w:val="1F497D"/>
        </w:rPr>
        <w:t>m</w:t>
      </w:r>
      <w:r>
        <w:rPr>
          <w:rFonts w:ascii="Arial Narrow" w:hAnsi="Arial Narrow"/>
          <w:iCs/>
          <w:noProof/>
          <w:color w:val="1F497D"/>
        </w:rPr>
        <w:t xml:space="preserve">igliaia di </w:t>
      </w:r>
      <w:r w:rsidRPr="00C735EC">
        <w:rPr>
          <w:rFonts w:ascii="Arial Narrow" w:hAnsi="Arial Narrow"/>
          <w:iCs/>
          <w:noProof/>
          <w:color w:val="1F497D"/>
        </w:rPr>
        <w:t>terajoule</w:t>
      </w:r>
      <w:r>
        <w:rPr>
          <w:rFonts w:ascii="Arial Narrow" w:hAnsi="Arial Narrow"/>
          <w:iCs/>
          <w:noProof/>
          <w:color w:val="1F497D"/>
        </w:rPr>
        <w:t xml:space="preserve"> e variazioni percentuali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5026"/>
      </w:tblGrid>
      <w:tr w:rsidR="00E953D6" w14:paraId="1540B161" w14:textId="77777777" w:rsidTr="005A6FF6">
        <w:tc>
          <w:tcPr>
            <w:tcW w:w="4926" w:type="dxa"/>
          </w:tcPr>
          <w:p w14:paraId="01898071" w14:textId="2A9F9790" w:rsidR="00E953D6" w:rsidRDefault="00AB1EA3" w:rsidP="00423A7F">
            <w:pPr>
              <w:keepNext/>
              <w:tabs>
                <w:tab w:val="left" w:pos="900"/>
              </w:tabs>
              <w:rPr>
                <w:rFonts w:ascii="Arial Narrow" w:hAnsi="Arial Narrow"/>
                <w:iCs/>
                <w:noProof/>
                <w:color w:val="1F497D"/>
              </w:rPr>
            </w:pPr>
            <w:r>
              <w:rPr>
                <w:rFonts w:ascii="Arial Narrow" w:hAnsi="Arial Narrow"/>
                <w:iCs/>
                <w:noProof/>
                <w:color w:val="1F497D"/>
              </w:rPr>
              <w:fldChar w:fldCharType="begin"/>
            </w:r>
            <w:r>
              <w:rPr>
                <w:rFonts w:ascii="Arial Narrow" w:hAnsi="Arial Narrow"/>
                <w:iCs/>
                <w:noProof/>
                <w:color w:val="1F497D"/>
              </w:rPr>
              <w:instrText xml:space="preserve"> LINK Excel.Sheet.12 "D:\\ISTAT\\Editing report\\Statistica report economia e ambiente\\Economia e ambiente_FIGURE.xlsx!Figura 2 - energia![Economia e ambiente_FIGURE.xlsx]Figura 2 - energia Grafico 1" "" \a \p </w:instrText>
            </w:r>
            <w:r>
              <w:rPr>
                <w:rFonts w:ascii="Arial Narrow" w:hAnsi="Arial Narrow"/>
                <w:iCs/>
                <w:noProof/>
                <w:color w:val="1F497D"/>
              </w:rPr>
              <w:fldChar w:fldCharType="separate"/>
            </w:r>
            <w:r w:rsidR="00B7452B">
              <w:rPr>
                <w:rFonts w:ascii="Arial Narrow" w:hAnsi="Arial Narrow"/>
                <w:iCs/>
                <w:noProof/>
                <w:color w:val="1F497D"/>
              </w:rPr>
              <w:object w:dxaOrig="4815" w:dyaOrig="3300" w14:anchorId="2683FF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75pt;height:165.75pt" o:ole="">
                  <v:imagedata r:id="rId12" o:title=""/>
                </v:shape>
              </w:object>
            </w:r>
            <w:r>
              <w:rPr>
                <w:rFonts w:ascii="Arial Narrow" w:hAnsi="Arial Narrow"/>
                <w:iCs/>
                <w:noProof/>
                <w:color w:val="1F497D"/>
              </w:rPr>
              <w:fldChar w:fldCharType="end"/>
            </w:r>
          </w:p>
        </w:tc>
        <w:tc>
          <w:tcPr>
            <w:tcW w:w="4986" w:type="dxa"/>
          </w:tcPr>
          <w:p w14:paraId="13112EE5" w14:textId="7B3F7651" w:rsidR="00E953D6" w:rsidRDefault="00AB1EA3" w:rsidP="00423A7F">
            <w:pPr>
              <w:keepNext/>
              <w:tabs>
                <w:tab w:val="left" w:pos="900"/>
              </w:tabs>
              <w:rPr>
                <w:rFonts w:ascii="Arial Narrow" w:hAnsi="Arial Narrow"/>
                <w:iCs/>
                <w:noProof/>
                <w:color w:val="1F497D"/>
              </w:rPr>
            </w:pPr>
            <w:r>
              <w:rPr>
                <w:rFonts w:ascii="Arial Narrow" w:hAnsi="Arial Narrow"/>
                <w:iCs/>
                <w:noProof/>
                <w:color w:val="1F497D"/>
              </w:rPr>
              <w:fldChar w:fldCharType="begin"/>
            </w:r>
            <w:r>
              <w:rPr>
                <w:rFonts w:ascii="Arial Narrow" w:hAnsi="Arial Narrow"/>
                <w:iCs/>
                <w:noProof/>
                <w:color w:val="1F497D"/>
              </w:rPr>
              <w:instrText xml:space="preserve"> LINK Excel.Sheet.12 "D:\\ISTAT\\Editing report\\Statistica report economia e ambiente\\Economia e ambiente_FIGURE.xlsx!Figura 2 - energia![Economia e ambiente_FIGURE.xlsx]Figura 2 - energia Grafico 4" "" \a \p </w:instrText>
            </w:r>
            <w:r>
              <w:rPr>
                <w:rFonts w:ascii="Arial Narrow" w:hAnsi="Arial Narrow"/>
                <w:iCs/>
                <w:noProof/>
                <w:color w:val="1F497D"/>
              </w:rPr>
              <w:fldChar w:fldCharType="separate"/>
            </w:r>
            <w:r w:rsidR="00B7452B">
              <w:rPr>
                <w:rFonts w:ascii="Arial Narrow" w:hAnsi="Arial Narrow"/>
                <w:iCs/>
                <w:noProof/>
                <w:color w:val="1F497D"/>
              </w:rPr>
              <w:object w:dxaOrig="4875" w:dyaOrig="3300" w14:anchorId="1CF2180B">
                <v:shape id="_x0000_i1026" type="#_x0000_t75" style="width:244.5pt;height:165.75pt" o:ole="">
                  <v:imagedata r:id="rId13" o:title=""/>
                </v:shape>
              </w:object>
            </w:r>
            <w:r>
              <w:rPr>
                <w:rFonts w:ascii="Arial Narrow" w:hAnsi="Arial Narrow"/>
                <w:iCs/>
                <w:noProof/>
                <w:color w:val="1F497D"/>
              </w:rPr>
              <w:fldChar w:fldCharType="end"/>
            </w:r>
          </w:p>
        </w:tc>
      </w:tr>
    </w:tbl>
    <w:p w14:paraId="6116EEE6" w14:textId="163FAA9D" w:rsidR="00C96BC5" w:rsidRPr="008F73EB" w:rsidRDefault="00C96BC5" w:rsidP="008F73EB">
      <w:pPr>
        <w:jc w:val="both"/>
        <w:rPr>
          <w:rFonts w:ascii="Arial" w:hAnsi="Arial" w:cs="Arial"/>
          <w:sz w:val="13"/>
          <w:szCs w:val="13"/>
        </w:rPr>
      </w:pPr>
      <w:r w:rsidRPr="008F73EB">
        <w:rPr>
          <w:rFonts w:ascii="Arial" w:hAnsi="Arial" w:cs="Arial"/>
          <w:sz w:val="13"/>
          <w:szCs w:val="13"/>
        </w:rPr>
        <w:t>Legenda</w:t>
      </w:r>
      <w:r w:rsidR="008F73EB">
        <w:rPr>
          <w:rFonts w:ascii="Arial" w:hAnsi="Arial" w:cs="Arial"/>
          <w:sz w:val="13"/>
          <w:szCs w:val="13"/>
        </w:rPr>
        <w:t xml:space="preserve">: </w:t>
      </w:r>
      <w:r w:rsidRPr="008F73EB">
        <w:rPr>
          <w:rFonts w:ascii="Arial" w:hAnsi="Arial" w:cs="Arial"/>
          <w:sz w:val="13"/>
          <w:szCs w:val="13"/>
        </w:rPr>
        <w:t>B –Industria estrattiva; C - Attività manifatturiere; D - Fornitura di energia elettrica, gas, vapore e aria condizionata; E - Fornitura di acqua; reti fognarie, attività di trattamento dei rifiuti e risanamento; H51 – Trasporto aereo; O - Amministrazione pubblica e difesa; assicurazione sociale obbligatoria; Q86 - Attività dei servizi sanitari</w:t>
      </w:r>
    </w:p>
    <w:p w14:paraId="1E1EFEAA" w14:textId="47D7D2A2" w:rsidR="003B2AA0" w:rsidRPr="009717F1" w:rsidRDefault="00C96BC5" w:rsidP="008F73EB">
      <w:pPr>
        <w:jc w:val="both"/>
        <w:rPr>
          <w:rFonts w:ascii="Arial" w:hAnsi="Arial" w:cs="Arial"/>
          <w:sz w:val="15"/>
          <w:szCs w:val="15"/>
        </w:rPr>
      </w:pPr>
      <w:r w:rsidRPr="00C96BC5">
        <w:rPr>
          <w:rFonts w:ascii="Arial" w:hAnsi="Arial" w:cs="Arial"/>
          <w:sz w:val="15"/>
          <w:szCs w:val="15"/>
        </w:rPr>
        <w:t>Fonte: Istat, Conti ambientali - Conti dei flussi fisici di energia</w:t>
      </w:r>
      <w:r w:rsidR="003B2AA0" w:rsidRPr="009717F1">
        <w:rPr>
          <w:rFonts w:ascii="Arial" w:hAnsi="Arial" w:cs="Arial"/>
          <w:sz w:val="15"/>
          <w:szCs w:val="15"/>
        </w:rPr>
        <w:br w:type="page"/>
      </w:r>
    </w:p>
    <w:p w14:paraId="4C28BC98" w14:textId="77777777" w:rsidR="004164AF" w:rsidRDefault="004164AF" w:rsidP="00C569E4">
      <w:pPr>
        <w:tabs>
          <w:tab w:val="left" w:pos="851"/>
          <w:tab w:val="left" w:pos="2575"/>
        </w:tabs>
        <w:autoSpaceDE w:val="0"/>
        <w:autoSpaceDN w:val="0"/>
        <w:adjustRightInd w:val="0"/>
        <w:spacing w:after="120"/>
        <w:ind w:right="-1"/>
        <w:jc w:val="both"/>
        <w:rPr>
          <w:rFonts w:ascii="Arial" w:hAnsi="Arial" w:cs="Arial"/>
          <w:bCs/>
          <w:color w:val="1F497D" w:themeColor="text2"/>
          <w:sz w:val="22"/>
          <w:szCs w:val="22"/>
        </w:rPr>
      </w:pPr>
    </w:p>
    <w:p w14:paraId="44639147" w14:textId="0087BBC2" w:rsidR="00E67601" w:rsidRDefault="00887B3C" w:rsidP="00581839">
      <w:pPr>
        <w:autoSpaceDE w:val="0"/>
        <w:autoSpaceDN w:val="0"/>
        <w:adjustRightInd w:val="0"/>
        <w:spacing w:after="120"/>
        <w:jc w:val="both"/>
        <w:rPr>
          <w:rFonts w:ascii="Arial" w:hAnsi="Arial" w:cs="Arial"/>
          <w:b/>
          <w:color w:val="1F497D" w:themeColor="text2"/>
          <w:sz w:val="26"/>
          <w:szCs w:val="26"/>
        </w:rPr>
      </w:pPr>
      <w:r>
        <w:rPr>
          <w:rFonts w:ascii="Arial" w:hAnsi="Arial" w:cs="Arial"/>
          <w:b/>
          <w:color w:val="1F497D" w:themeColor="text2"/>
          <w:sz w:val="26"/>
          <w:szCs w:val="26"/>
        </w:rPr>
        <w:t>E</w:t>
      </w:r>
      <w:r w:rsidR="00E67601" w:rsidRPr="00E67601">
        <w:rPr>
          <w:rFonts w:ascii="Arial" w:hAnsi="Arial" w:cs="Arial"/>
          <w:b/>
          <w:color w:val="1F497D" w:themeColor="text2"/>
          <w:sz w:val="26"/>
          <w:szCs w:val="26"/>
        </w:rPr>
        <w:t xml:space="preserve">missioni in atmosfera </w:t>
      </w:r>
      <w:r>
        <w:rPr>
          <w:rFonts w:ascii="Arial" w:hAnsi="Arial" w:cs="Arial"/>
          <w:b/>
          <w:color w:val="1F497D" w:themeColor="text2"/>
          <w:sz w:val="26"/>
          <w:szCs w:val="26"/>
        </w:rPr>
        <w:t>in calo</w:t>
      </w:r>
      <w:r w:rsidRPr="00E67601">
        <w:rPr>
          <w:rFonts w:ascii="Arial" w:hAnsi="Arial" w:cs="Arial"/>
          <w:b/>
          <w:color w:val="1F497D" w:themeColor="text2"/>
          <w:sz w:val="26"/>
          <w:szCs w:val="26"/>
        </w:rPr>
        <w:t xml:space="preserve"> </w:t>
      </w:r>
      <w:r w:rsidR="00E67601" w:rsidRPr="00E67601">
        <w:rPr>
          <w:rFonts w:ascii="Arial" w:hAnsi="Arial" w:cs="Arial"/>
          <w:b/>
          <w:color w:val="1F497D" w:themeColor="text2"/>
          <w:sz w:val="26"/>
          <w:szCs w:val="26"/>
        </w:rPr>
        <w:t>più del Pil</w:t>
      </w:r>
    </w:p>
    <w:p w14:paraId="052A7DA0" w14:textId="77777777" w:rsidR="00887B3C" w:rsidRDefault="00E67601" w:rsidP="00E67601">
      <w:pPr>
        <w:pStyle w:val="Default"/>
        <w:spacing w:after="120"/>
        <w:jc w:val="both"/>
        <w:rPr>
          <w:rFonts w:ascii="Arial" w:hAnsi="Arial" w:cs="Arial"/>
          <w:color w:val="auto"/>
          <w:sz w:val="22"/>
          <w:szCs w:val="22"/>
        </w:rPr>
      </w:pPr>
      <w:r w:rsidRPr="00E67601">
        <w:rPr>
          <w:rFonts w:ascii="Arial" w:hAnsi="Arial" w:cs="Arial"/>
          <w:color w:val="auto"/>
          <w:sz w:val="22"/>
          <w:szCs w:val="22"/>
        </w:rPr>
        <w:t xml:space="preserve">La contrazione economica indotta dalla crisi è stata accompagnata da un generale rallentamento delle emissioni in atmosfera. </w:t>
      </w:r>
    </w:p>
    <w:p w14:paraId="4232E8AB" w14:textId="77777777" w:rsidR="00887B3C" w:rsidRDefault="00E67601" w:rsidP="00E67601">
      <w:pPr>
        <w:pStyle w:val="Default"/>
        <w:spacing w:after="120"/>
        <w:jc w:val="both"/>
        <w:rPr>
          <w:rFonts w:ascii="Arial" w:hAnsi="Arial" w:cs="Arial"/>
          <w:color w:val="auto"/>
          <w:sz w:val="22"/>
          <w:szCs w:val="22"/>
        </w:rPr>
      </w:pPr>
      <w:r w:rsidRPr="00E67601">
        <w:rPr>
          <w:rFonts w:ascii="Arial" w:hAnsi="Arial" w:cs="Arial"/>
          <w:color w:val="auto"/>
          <w:sz w:val="22"/>
          <w:szCs w:val="22"/>
        </w:rPr>
        <w:t xml:space="preserve">Nel 2020 le attività produttive e le famiglie italiane hanno immesso in atmosfera il 10,2% in meno di gas climalteranti rispetto all’anno precedente, l’11,3% in meno di sostanze inquinanti responsabili del fenomeno dell’acidificazione e il 9,5% in meno di inquinanti precursori dell’ozono troposferico. </w:t>
      </w:r>
    </w:p>
    <w:p w14:paraId="78E3F9D8" w14:textId="046217AD" w:rsidR="00E67601" w:rsidRPr="00E67601" w:rsidRDefault="00E67601" w:rsidP="00E67601">
      <w:pPr>
        <w:pStyle w:val="Default"/>
        <w:spacing w:after="120"/>
        <w:jc w:val="both"/>
        <w:rPr>
          <w:rFonts w:ascii="Arial" w:hAnsi="Arial" w:cs="Arial"/>
          <w:color w:val="auto"/>
          <w:sz w:val="22"/>
          <w:szCs w:val="22"/>
        </w:rPr>
      </w:pPr>
      <w:r w:rsidRPr="00E67601">
        <w:rPr>
          <w:rFonts w:ascii="Arial" w:hAnsi="Arial" w:cs="Arial"/>
          <w:color w:val="auto"/>
          <w:sz w:val="22"/>
          <w:szCs w:val="22"/>
        </w:rPr>
        <w:t>Le stime provvisorie del 2021 mostrano una ripresa delle emissioni di CO</w:t>
      </w:r>
      <w:r w:rsidRPr="008F73EB">
        <w:rPr>
          <w:rFonts w:ascii="Arial" w:hAnsi="Arial" w:cs="Arial"/>
          <w:color w:val="auto"/>
          <w:sz w:val="22"/>
          <w:szCs w:val="22"/>
          <w:vertAlign w:val="subscript"/>
        </w:rPr>
        <w:t>2</w:t>
      </w:r>
      <w:r w:rsidRPr="00E67601">
        <w:rPr>
          <w:rFonts w:ascii="Arial" w:hAnsi="Arial" w:cs="Arial"/>
          <w:color w:val="auto"/>
          <w:sz w:val="22"/>
          <w:szCs w:val="22"/>
        </w:rPr>
        <w:t xml:space="preserve"> e degli altri gas climalteranti rispetto al 2020 (+6,2%) con livelli che, tuttavia, non raggiungono quelli del periodo pre-pandemico, confermando la tendenza alla riduzione che si osserva a partire dal 2008 (-28,7% nell’intero periodo 2008-2021).</w:t>
      </w:r>
    </w:p>
    <w:p w14:paraId="5CF4D8FD" w14:textId="723AB0D4" w:rsidR="00E67601" w:rsidRPr="00E67601" w:rsidRDefault="00E67601" w:rsidP="00E67601">
      <w:pPr>
        <w:pStyle w:val="Default"/>
        <w:spacing w:after="120"/>
        <w:jc w:val="both"/>
        <w:rPr>
          <w:rFonts w:ascii="Arial" w:hAnsi="Arial" w:cs="Arial"/>
          <w:color w:val="auto"/>
          <w:sz w:val="22"/>
          <w:szCs w:val="22"/>
        </w:rPr>
      </w:pPr>
      <w:r w:rsidRPr="00E67601">
        <w:rPr>
          <w:rFonts w:ascii="Arial" w:hAnsi="Arial" w:cs="Arial"/>
          <w:color w:val="auto"/>
          <w:sz w:val="22"/>
          <w:szCs w:val="22"/>
        </w:rPr>
        <w:t>Alla riduzione complessiva delle emissioni climalteranti nel 2020, pari a circa 44 milioni e mezzo di tonnellate di CO</w:t>
      </w:r>
      <w:r w:rsidRPr="008F73EB">
        <w:rPr>
          <w:rFonts w:ascii="Arial" w:hAnsi="Arial" w:cs="Arial"/>
          <w:color w:val="auto"/>
          <w:sz w:val="22"/>
          <w:szCs w:val="22"/>
          <w:vertAlign w:val="subscript"/>
        </w:rPr>
        <w:t>2</w:t>
      </w:r>
      <w:r w:rsidRPr="00E67601">
        <w:rPr>
          <w:rFonts w:ascii="Arial" w:hAnsi="Arial" w:cs="Arial"/>
          <w:color w:val="auto"/>
          <w:sz w:val="22"/>
          <w:szCs w:val="22"/>
        </w:rPr>
        <w:t xml:space="preserve"> equivalente (da 436 a 392 Mt di CO</w:t>
      </w:r>
      <w:r w:rsidRPr="008F73EB">
        <w:rPr>
          <w:rFonts w:ascii="Arial" w:hAnsi="Arial" w:cs="Arial"/>
          <w:color w:val="auto"/>
          <w:sz w:val="22"/>
          <w:szCs w:val="22"/>
          <w:vertAlign w:val="subscript"/>
        </w:rPr>
        <w:t>2</w:t>
      </w:r>
      <w:r w:rsidRPr="00E67601">
        <w:rPr>
          <w:rFonts w:ascii="Arial" w:hAnsi="Arial" w:cs="Arial"/>
          <w:color w:val="auto"/>
          <w:sz w:val="22"/>
          <w:szCs w:val="22"/>
        </w:rPr>
        <w:t xml:space="preserve"> eq.), contribuiscono soprattutto le attività produttive (-30 Mt di CO</w:t>
      </w:r>
      <w:r w:rsidRPr="008F73EB">
        <w:rPr>
          <w:rFonts w:ascii="Arial" w:hAnsi="Arial" w:cs="Arial"/>
          <w:color w:val="auto"/>
          <w:sz w:val="22"/>
          <w:szCs w:val="22"/>
          <w:vertAlign w:val="subscript"/>
        </w:rPr>
        <w:t>2</w:t>
      </w:r>
      <w:r w:rsidRPr="00E67601">
        <w:rPr>
          <w:rFonts w:ascii="Arial" w:hAnsi="Arial" w:cs="Arial"/>
          <w:color w:val="auto"/>
          <w:sz w:val="22"/>
          <w:szCs w:val="22"/>
        </w:rPr>
        <w:t xml:space="preserve"> eq.), da cui derivano circa i tre quarti delle emissioni di gas serra dell’economia italiana (con un lieve incremento del peso dal 74,1 al 74,8%). </w:t>
      </w:r>
    </w:p>
    <w:p w14:paraId="0F613439" w14:textId="77777777" w:rsidR="00C530DA" w:rsidRDefault="00E67601" w:rsidP="00E67601">
      <w:pPr>
        <w:pStyle w:val="Default"/>
        <w:spacing w:after="120"/>
        <w:jc w:val="both"/>
        <w:rPr>
          <w:rFonts w:ascii="Arial" w:hAnsi="Arial" w:cs="Arial"/>
          <w:color w:val="auto"/>
          <w:sz w:val="22"/>
          <w:szCs w:val="22"/>
        </w:rPr>
      </w:pPr>
      <w:r w:rsidRPr="00E67601">
        <w:rPr>
          <w:rFonts w:ascii="Arial" w:hAnsi="Arial" w:cs="Arial"/>
          <w:color w:val="auto"/>
          <w:sz w:val="22"/>
          <w:szCs w:val="22"/>
        </w:rPr>
        <w:t xml:space="preserve">Le emissioni delle famiglie si riducono in misura proporzionalmente maggiore rispetto a quelle delle attività produttive (rispettivamente -12,7% e -9,3%). Di conseguenza, cala il contributo delle famiglie alla produzione di gas serra dell’Italia, dal 25,9% al 25,2%. </w:t>
      </w:r>
    </w:p>
    <w:p w14:paraId="38355620" w14:textId="157A4978" w:rsidR="00E67601" w:rsidRPr="00E67601" w:rsidRDefault="00E67601" w:rsidP="00E67601">
      <w:pPr>
        <w:pStyle w:val="Default"/>
        <w:spacing w:after="120"/>
        <w:jc w:val="both"/>
        <w:rPr>
          <w:rFonts w:ascii="Arial" w:hAnsi="Arial" w:cs="Arial"/>
          <w:color w:val="auto"/>
          <w:sz w:val="22"/>
          <w:szCs w:val="22"/>
        </w:rPr>
      </w:pPr>
      <w:r w:rsidRPr="00E67601">
        <w:rPr>
          <w:rFonts w:ascii="Arial" w:hAnsi="Arial" w:cs="Arial"/>
          <w:color w:val="auto"/>
          <w:sz w:val="22"/>
          <w:szCs w:val="22"/>
        </w:rPr>
        <w:t xml:space="preserve">Tra le attività produttive, l’Agricoltura, il Trattamento dei rifiuti, la Sanità e l’assistenza sociale e l’Amministrazione pubblica mostrano un andamento in controtendenza rispetto al resto dell’economia, registrando incrementi delle rispettive emissioni tra il 2019 e 2020. </w:t>
      </w:r>
    </w:p>
    <w:p w14:paraId="7135D8E5" w14:textId="5025B52B" w:rsidR="00E67601" w:rsidRPr="00E67601" w:rsidRDefault="00E67601" w:rsidP="00E67601">
      <w:pPr>
        <w:pStyle w:val="Default"/>
        <w:spacing w:after="120"/>
        <w:jc w:val="both"/>
        <w:rPr>
          <w:rFonts w:ascii="Arial" w:hAnsi="Arial" w:cs="Arial"/>
          <w:color w:val="auto"/>
          <w:sz w:val="22"/>
          <w:szCs w:val="22"/>
        </w:rPr>
      </w:pPr>
      <w:r w:rsidRPr="00E67601">
        <w:rPr>
          <w:rFonts w:ascii="Arial" w:hAnsi="Arial" w:cs="Arial"/>
          <w:color w:val="auto"/>
          <w:sz w:val="22"/>
          <w:szCs w:val="22"/>
        </w:rPr>
        <w:t>L’intensità di emissione scende nel 2020 a 249 tonnellate di CO</w:t>
      </w:r>
      <w:r w:rsidRPr="008F73EB">
        <w:rPr>
          <w:rFonts w:ascii="Arial" w:hAnsi="Arial" w:cs="Arial"/>
          <w:color w:val="auto"/>
          <w:sz w:val="22"/>
          <w:szCs w:val="22"/>
          <w:vertAlign w:val="subscript"/>
        </w:rPr>
        <w:t>2</w:t>
      </w:r>
      <w:r w:rsidRPr="00E67601">
        <w:rPr>
          <w:rFonts w:ascii="Arial" w:hAnsi="Arial" w:cs="Arial"/>
          <w:color w:val="auto"/>
          <w:sz w:val="22"/>
          <w:szCs w:val="22"/>
        </w:rPr>
        <w:t xml:space="preserve"> eq. per milione di euro di Pil, dalle 252 del 2019. Tale riduzione</w:t>
      </w:r>
      <w:r w:rsidR="00C530DA">
        <w:rPr>
          <w:rFonts w:ascii="Arial" w:hAnsi="Arial" w:cs="Arial"/>
          <w:color w:val="auto"/>
          <w:sz w:val="22"/>
          <w:szCs w:val="22"/>
        </w:rPr>
        <w:t xml:space="preserve"> (</w:t>
      </w:r>
      <w:r w:rsidRPr="00E67601">
        <w:rPr>
          <w:rFonts w:ascii="Arial" w:hAnsi="Arial" w:cs="Arial"/>
          <w:color w:val="auto"/>
          <w:sz w:val="22"/>
          <w:szCs w:val="22"/>
        </w:rPr>
        <w:t>-1,3%</w:t>
      </w:r>
      <w:r w:rsidR="00C530DA">
        <w:rPr>
          <w:rFonts w:ascii="Arial" w:hAnsi="Arial" w:cs="Arial"/>
          <w:color w:val="auto"/>
          <w:sz w:val="22"/>
          <w:szCs w:val="22"/>
        </w:rPr>
        <w:t>)</w:t>
      </w:r>
      <w:r w:rsidRPr="00E67601">
        <w:rPr>
          <w:rFonts w:ascii="Arial" w:hAnsi="Arial" w:cs="Arial"/>
          <w:color w:val="auto"/>
          <w:sz w:val="22"/>
          <w:szCs w:val="22"/>
        </w:rPr>
        <w:t xml:space="preserve"> è più debole rispetto a quella degli anni dal 2015 al 2019 (-2,1% medio annuo), periodo nel quale si era verificato un disaccoppiamento assoluto tra le emissioni in diminuzione (-4,2%) e il Pil in aumento (4,4%). </w:t>
      </w:r>
    </w:p>
    <w:p w14:paraId="4953398E" w14:textId="69A296ED" w:rsidR="0084587C" w:rsidRDefault="0084587C" w:rsidP="0084587C">
      <w:pPr>
        <w:pStyle w:val="Default"/>
        <w:spacing w:after="120"/>
        <w:jc w:val="both"/>
        <w:rPr>
          <w:rFonts w:ascii="Arial" w:hAnsi="Arial" w:cs="Arial"/>
          <w:color w:val="auto"/>
          <w:sz w:val="22"/>
          <w:szCs w:val="22"/>
        </w:rPr>
      </w:pPr>
    </w:p>
    <w:p w14:paraId="1D850201" w14:textId="26D48A07" w:rsidR="00CB0BF5" w:rsidRDefault="00CB0BF5" w:rsidP="0084587C">
      <w:pPr>
        <w:pStyle w:val="Default"/>
        <w:spacing w:after="120"/>
        <w:jc w:val="both"/>
        <w:rPr>
          <w:rFonts w:ascii="Arial" w:hAnsi="Arial" w:cs="Arial"/>
          <w:color w:val="auto"/>
          <w:sz w:val="22"/>
          <w:szCs w:val="22"/>
        </w:rPr>
      </w:pPr>
    </w:p>
    <w:p w14:paraId="42C002EA" w14:textId="12B10244" w:rsidR="00CB0BF5" w:rsidRDefault="00CB0BF5" w:rsidP="0084587C">
      <w:pPr>
        <w:pStyle w:val="Default"/>
        <w:spacing w:after="120"/>
        <w:jc w:val="both"/>
        <w:rPr>
          <w:rFonts w:ascii="Arial" w:hAnsi="Arial" w:cs="Arial"/>
          <w:color w:val="auto"/>
          <w:sz w:val="22"/>
          <w:szCs w:val="22"/>
        </w:rPr>
      </w:pPr>
    </w:p>
    <w:p w14:paraId="2BB09317" w14:textId="03E81E38" w:rsidR="00CB0BF5" w:rsidRDefault="00CB0BF5" w:rsidP="0084587C">
      <w:pPr>
        <w:pStyle w:val="Default"/>
        <w:spacing w:after="120"/>
        <w:jc w:val="both"/>
        <w:rPr>
          <w:rFonts w:ascii="Arial" w:hAnsi="Arial" w:cs="Arial"/>
          <w:color w:val="auto"/>
          <w:sz w:val="22"/>
          <w:szCs w:val="22"/>
        </w:rPr>
      </w:pPr>
    </w:p>
    <w:p w14:paraId="7ADBEA09" w14:textId="169D0FD1" w:rsidR="00CB0BF5" w:rsidRDefault="00CB0BF5" w:rsidP="0084587C">
      <w:pPr>
        <w:pStyle w:val="Default"/>
        <w:spacing w:after="120"/>
        <w:jc w:val="both"/>
        <w:rPr>
          <w:rFonts w:ascii="Arial" w:hAnsi="Arial" w:cs="Arial"/>
          <w:color w:val="auto"/>
          <w:sz w:val="22"/>
          <w:szCs w:val="22"/>
        </w:rPr>
      </w:pPr>
    </w:p>
    <w:p w14:paraId="2274945A" w14:textId="18E5F62D" w:rsidR="00CB0BF5" w:rsidRDefault="00CB0BF5" w:rsidP="0084587C">
      <w:pPr>
        <w:pStyle w:val="Default"/>
        <w:spacing w:after="120"/>
        <w:jc w:val="both"/>
        <w:rPr>
          <w:rFonts w:ascii="Arial" w:hAnsi="Arial" w:cs="Arial"/>
          <w:color w:val="auto"/>
          <w:sz w:val="22"/>
          <w:szCs w:val="22"/>
        </w:rPr>
      </w:pPr>
    </w:p>
    <w:p w14:paraId="4921E63A" w14:textId="004C0FB7" w:rsidR="00CB0BF5" w:rsidRDefault="00CB0BF5" w:rsidP="0084587C">
      <w:pPr>
        <w:pStyle w:val="Default"/>
        <w:spacing w:after="120"/>
        <w:jc w:val="both"/>
        <w:rPr>
          <w:rFonts w:ascii="Arial" w:hAnsi="Arial" w:cs="Arial"/>
          <w:color w:val="auto"/>
          <w:sz w:val="22"/>
          <w:szCs w:val="22"/>
        </w:rPr>
      </w:pPr>
    </w:p>
    <w:p w14:paraId="010389F8" w14:textId="5509B157" w:rsidR="00CB0BF5" w:rsidRPr="008F73EB" w:rsidRDefault="00CB0BF5" w:rsidP="008F73EB">
      <w:pPr>
        <w:pStyle w:val="Default"/>
        <w:jc w:val="both"/>
        <w:rPr>
          <w:rFonts w:ascii="Arial" w:hAnsi="Arial" w:cs="Arial"/>
          <w:color w:val="auto"/>
          <w:sz w:val="36"/>
          <w:szCs w:val="36"/>
        </w:rPr>
      </w:pPr>
    </w:p>
    <w:p w14:paraId="44F3A33E" w14:textId="77777777" w:rsidR="00CB0BF5" w:rsidRDefault="00713215" w:rsidP="001B6007">
      <w:pPr>
        <w:rPr>
          <w:rFonts w:ascii="Arial Narrow" w:hAnsi="Arial Narrow"/>
          <w:iCs/>
          <w:noProof/>
          <w:color w:val="1F497D"/>
        </w:rPr>
      </w:pPr>
      <w:r w:rsidRPr="001E24C8">
        <w:rPr>
          <w:rFonts w:ascii="Arial Black" w:hAnsi="Arial Black" w:cs="Arial"/>
          <w:b/>
          <w:color w:val="1F497D" w:themeColor="text2"/>
          <w:sz w:val="22"/>
          <w:szCs w:val="22"/>
        </w:rPr>
        <w:t xml:space="preserve">FIGURA </w:t>
      </w:r>
      <w:r w:rsidR="002B47CC">
        <w:rPr>
          <w:rFonts w:ascii="Arial Black" w:hAnsi="Arial Black" w:cs="Arial"/>
          <w:b/>
          <w:color w:val="1F497D" w:themeColor="text2"/>
          <w:sz w:val="22"/>
          <w:szCs w:val="22"/>
        </w:rPr>
        <w:t>2</w:t>
      </w:r>
      <w:r w:rsidR="003F6109">
        <w:rPr>
          <w:rFonts w:ascii="Arial Black" w:hAnsi="Arial Black" w:cs="Arial"/>
          <w:b/>
          <w:color w:val="1F497D" w:themeColor="text2"/>
          <w:sz w:val="22"/>
          <w:szCs w:val="22"/>
        </w:rPr>
        <w:t>.</w:t>
      </w:r>
      <w:r>
        <w:rPr>
          <w:rFonts w:ascii="Arial" w:hAnsi="Arial" w:cs="Arial"/>
          <w:b/>
          <w:color w:val="1F497D" w:themeColor="text2"/>
          <w:sz w:val="26"/>
          <w:szCs w:val="26"/>
        </w:rPr>
        <w:t xml:space="preserve"> </w:t>
      </w:r>
      <w:r w:rsidR="00CB0BF5" w:rsidRPr="00711872">
        <w:rPr>
          <w:rFonts w:ascii="Arial Narrow" w:hAnsi="Arial Narrow"/>
          <w:b/>
          <w:iCs/>
          <w:noProof/>
          <w:color w:val="1F497D" w:themeColor="text2"/>
        </w:rPr>
        <w:t>EMISSIONI CLIMALTERANTI PER SETTORE ECONOMICO E FAMIGLIE.</w:t>
      </w:r>
      <w:r w:rsidR="00CB0BF5" w:rsidRPr="00C735EC">
        <w:rPr>
          <w:rFonts w:ascii="Arial Narrow" w:hAnsi="Arial Narrow"/>
          <w:iCs/>
          <w:noProof/>
          <w:color w:val="1F497D"/>
        </w:rPr>
        <w:t xml:space="preserve"> </w:t>
      </w:r>
    </w:p>
    <w:p w14:paraId="51CA524C" w14:textId="6238E91D" w:rsidR="00CB0BF5" w:rsidRDefault="00CB0BF5" w:rsidP="00C530DA">
      <w:pPr>
        <w:keepNext/>
        <w:tabs>
          <w:tab w:val="left" w:pos="900"/>
        </w:tabs>
        <w:rPr>
          <w:rFonts w:ascii="Arial Narrow" w:hAnsi="Arial Narrow"/>
          <w:iCs/>
          <w:noProof/>
          <w:color w:val="1F497D"/>
        </w:rPr>
      </w:pPr>
      <w:r w:rsidRPr="00C735EC">
        <w:rPr>
          <w:rFonts w:ascii="Arial Narrow" w:hAnsi="Arial Narrow"/>
          <w:iCs/>
          <w:noProof/>
          <w:color w:val="1F497D"/>
        </w:rPr>
        <w:t>Anni 20</w:t>
      </w:r>
      <w:r>
        <w:rPr>
          <w:rFonts w:ascii="Arial Narrow" w:hAnsi="Arial Narrow"/>
          <w:iCs/>
          <w:noProof/>
          <w:color w:val="1F497D"/>
        </w:rPr>
        <w:t>19</w:t>
      </w:r>
      <w:r w:rsidRPr="00C735EC">
        <w:rPr>
          <w:rFonts w:ascii="Arial Narrow" w:hAnsi="Arial Narrow"/>
          <w:iCs/>
          <w:noProof/>
          <w:color w:val="1F497D"/>
        </w:rPr>
        <w:t xml:space="preserve">-2020, </w:t>
      </w:r>
      <w:r w:rsidR="00D502CC">
        <w:rPr>
          <w:rFonts w:ascii="Arial Narrow" w:hAnsi="Arial Narrow"/>
          <w:iCs/>
          <w:noProof/>
          <w:color w:val="1F497D"/>
        </w:rPr>
        <w:t>m</w:t>
      </w:r>
      <w:r>
        <w:rPr>
          <w:rFonts w:ascii="Arial Narrow" w:hAnsi="Arial Narrow"/>
          <w:iCs/>
          <w:noProof/>
          <w:color w:val="1F497D"/>
        </w:rPr>
        <w:t xml:space="preserve">ilioni di </w:t>
      </w:r>
      <w:r w:rsidRPr="00C735EC">
        <w:rPr>
          <w:rFonts w:ascii="Arial Narrow" w:hAnsi="Arial Narrow"/>
          <w:iCs/>
          <w:noProof/>
          <w:color w:val="1F497D"/>
        </w:rPr>
        <w:t>t</w:t>
      </w:r>
      <w:r>
        <w:rPr>
          <w:rFonts w:ascii="Arial Narrow" w:hAnsi="Arial Narrow"/>
          <w:iCs/>
          <w:noProof/>
          <w:color w:val="1F497D"/>
        </w:rPr>
        <w:t>onnellate di CO</w:t>
      </w:r>
      <w:r w:rsidRPr="00D52C20">
        <w:rPr>
          <w:rFonts w:ascii="Arial Narrow" w:hAnsi="Arial Narrow"/>
          <w:iCs/>
          <w:noProof/>
          <w:color w:val="1F497D"/>
          <w:vertAlign w:val="subscript"/>
        </w:rPr>
        <w:t>2</w:t>
      </w:r>
      <w:r>
        <w:rPr>
          <w:rFonts w:ascii="Arial Narrow" w:hAnsi="Arial Narrow"/>
          <w:iCs/>
          <w:noProof/>
          <w:color w:val="1F497D"/>
        </w:rPr>
        <w:t xml:space="preserve"> equivalente e variazioni percentuali</w:t>
      </w:r>
    </w:p>
    <w:p w14:paraId="7291C5F2" w14:textId="77777777" w:rsidR="00B354E2" w:rsidRPr="003143AC" w:rsidRDefault="00B354E2" w:rsidP="00C530DA">
      <w:pPr>
        <w:keepNext/>
        <w:tabs>
          <w:tab w:val="left" w:pos="900"/>
        </w:tabs>
        <w:rPr>
          <w:rFonts w:ascii="Arial Narrow" w:hAnsi="Arial Narrow"/>
          <w:iCs/>
          <w:noProof/>
          <w:color w:val="1F497D"/>
          <w:sz w:val="22"/>
          <w:szCs w:val="20"/>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4955"/>
      </w:tblGrid>
      <w:tr w:rsidR="00BB5F33" w14:paraId="14668F5C" w14:textId="77777777" w:rsidTr="001B6007">
        <w:tc>
          <w:tcPr>
            <w:tcW w:w="4956" w:type="dxa"/>
          </w:tcPr>
          <w:p w14:paraId="6E02D0F9" w14:textId="45EE3834" w:rsidR="00BB5F33" w:rsidRDefault="00AB1EA3" w:rsidP="00C530DA">
            <w:pPr>
              <w:keepNext/>
              <w:tabs>
                <w:tab w:val="left" w:pos="900"/>
              </w:tabs>
              <w:rPr>
                <w:rFonts w:ascii="Arial Narrow" w:hAnsi="Arial Narrow"/>
                <w:iCs/>
                <w:noProof/>
                <w:color w:val="1F497D"/>
              </w:rPr>
            </w:pPr>
            <w:r>
              <w:rPr>
                <w:rFonts w:ascii="Arial Narrow" w:hAnsi="Arial Narrow"/>
                <w:iCs/>
                <w:noProof/>
                <w:color w:val="1F497D"/>
              </w:rPr>
              <w:fldChar w:fldCharType="begin"/>
            </w:r>
            <w:r>
              <w:rPr>
                <w:rFonts w:ascii="Arial Narrow" w:hAnsi="Arial Narrow"/>
                <w:iCs/>
                <w:noProof/>
                <w:color w:val="1F497D"/>
              </w:rPr>
              <w:instrText xml:space="preserve"> LINK Excel.Sheet.12 "D:\\ISTAT\\Editing report\\Statistica report economia e ambiente\\Economia e ambiente_FIGURE.xlsx!Figura 3 - emissioni![Economia e ambiente_FIGURE.xlsx]Figura 3 - emissioni Grafico 2" "" \a \p </w:instrText>
            </w:r>
            <w:r>
              <w:rPr>
                <w:rFonts w:ascii="Arial Narrow" w:hAnsi="Arial Narrow"/>
                <w:iCs/>
                <w:noProof/>
                <w:color w:val="1F497D"/>
              </w:rPr>
              <w:fldChar w:fldCharType="separate"/>
            </w:r>
            <w:r w:rsidR="00B7452B">
              <w:rPr>
                <w:rFonts w:ascii="Arial Narrow" w:hAnsi="Arial Narrow"/>
                <w:iCs/>
                <w:noProof/>
                <w:color w:val="1F497D"/>
              </w:rPr>
              <w:object w:dxaOrig="4875" w:dyaOrig="3165" w14:anchorId="226C3287">
                <v:shape id="_x0000_i1027" type="#_x0000_t75" style="width:244.5pt;height:158.25pt" o:ole="">
                  <v:imagedata r:id="rId14" o:title=""/>
                </v:shape>
              </w:object>
            </w:r>
            <w:r>
              <w:rPr>
                <w:rFonts w:ascii="Arial Narrow" w:hAnsi="Arial Narrow"/>
                <w:iCs/>
                <w:noProof/>
                <w:color w:val="1F497D"/>
              </w:rPr>
              <w:fldChar w:fldCharType="end"/>
            </w:r>
          </w:p>
        </w:tc>
        <w:tc>
          <w:tcPr>
            <w:tcW w:w="4956" w:type="dxa"/>
          </w:tcPr>
          <w:p w14:paraId="7D17C828" w14:textId="6DF8C977" w:rsidR="00BB5F33" w:rsidRDefault="00B7452B" w:rsidP="00C530DA">
            <w:pPr>
              <w:keepNext/>
              <w:tabs>
                <w:tab w:val="left" w:pos="900"/>
              </w:tabs>
              <w:rPr>
                <w:rFonts w:ascii="Arial Narrow" w:hAnsi="Arial Narrow"/>
                <w:iCs/>
                <w:noProof/>
                <w:color w:val="1F497D"/>
              </w:rPr>
            </w:pPr>
            <w:r>
              <w:rPr>
                <w:rFonts w:ascii="Arial Narrow" w:hAnsi="Arial Narrow"/>
                <w:iCs/>
                <w:noProof/>
                <w:color w:val="1F497D"/>
              </w:rPr>
              <w:object w:dxaOrig="4876" w:dyaOrig="3181" w14:anchorId="31255FE8">
                <v:shape id="_x0000_i1028" type="#_x0000_t75" style="width:243.75pt;height:159pt" o:ole="">
                  <v:imagedata r:id="rId15" o:title=""/>
                </v:shape>
                <o:OLEObject Type="Link" ProgID="Excel.Sheet.12" ShapeID="_x0000_i1028" DrawAspect="Content" r:id="rId16" UpdateMode="Always">
                  <o:LinkType>EnhancedMetaFile</o:LinkType>
                  <o:LockedField>false</o:LockedField>
                </o:OLEObject>
              </w:object>
            </w:r>
          </w:p>
        </w:tc>
      </w:tr>
    </w:tbl>
    <w:p w14:paraId="0FACAC34" w14:textId="6E637A8E" w:rsidR="00CB0BF5" w:rsidRPr="008F73EB" w:rsidRDefault="00CB0BF5" w:rsidP="008F73EB">
      <w:pPr>
        <w:jc w:val="both"/>
        <w:rPr>
          <w:rFonts w:ascii="Arial" w:hAnsi="Arial" w:cs="Arial"/>
          <w:sz w:val="14"/>
          <w:szCs w:val="14"/>
        </w:rPr>
      </w:pPr>
      <w:r w:rsidRPr="008F73EB">
        <w:rPr>
          <w:rFonts w:ascii="Arial" w:hAnsi="Arial" w:cs="Arial"/>
          <w:sz w:val="14"/>
          <w:szCs w:val="14"/>
        </w:rPr>
        <w:t xml:space="preserve">Legenda: B –Industria estrattiva; C - Attività manifatturiere; D - Fornitura di energia elettrica, gas, vapore e aria condizionata; E - Fornitura di acqua; reti fognarie, attività di trattamento dei rifiuti e risanamento; H51 – Trasporto aereo; O - Amministrazione pubblica e difesa; assicurazione sociale obbligatoria; Q86 - Attività dei servizi sanitari </w:t>
      </w:r>
    </w:p>
    <w:p w14:paraId="2B1AA460" w14:textId="6E56F08C" w:rsidR="00892729" w:rsidRPr="00E463F8" w:rsidRDefault="00CB0BF5" w:rsidP="008F73EB">
      <w:pPr>
        <w:jc w:val="both"/>
        <w:rPr>
          <w:rFonts w:ascii="Arial" w:hAnsi="Arial" w:cs="Arial"/>
          <w:sz w:val="15"/>
          <w:szCs w:val="15"/>
        </w:rPr>
      </w:pPr>
      <w:r w:rsidRPr="00CB0BF5">
        <w:rPr>
          <w:rFonts w:ascii="Arial" w:hAnsi="Arial" w:cs="Arial"/>
          <w:sz w:val="15"/>
          <w:szCs w:val="15"/>
        </w:rPr>
        <w:t xml:space="preserve">Fonte: Istat, Conti ambientali - Conti delle emissioni atmosferiche </w:t>
      </w:r>
      <w:r w:rsidR="00892729" w:rsidRPr="00E463F8">
        <w:rPr>
          <w:rFonts w:ascii="Arial" w:hAnsi="Arial" w:cs="Arial"/>
          <w:sz w:val="15"/>
          <w:szCs w:val="15"/>
        </w:rPr>
        <w:br w:type="page"/>
      </w:r>
    </w:p>
    <w:p w14:paraId="070A3381" w14:textId="77777777" w:rsidR="00B87109" w:rsidRPr="00D0682C" w:rsidRDefault="00B87109" w:rsidP="00CC7157">
      <w:pPr>
        <w:spacing w:after="120"/>
        <w:jc w:val="both"/>
        <w:outlineLvl w:val="0"/>
        <w:rPr>
          <w:rFonts w:ascii="Arial" w:hAnsi="Arial" w:cs="Arial"/>
          <w:bCs/>
          <w:color w:val="1F497D" w:themeColor="text2"/>
          <w:sz w:val="22"/>
          <w:szCs w:val="22"/>
        </w:rPr>
      </w:pPr>
    </w:p>
    <w:p w14:paraId="7BBDE71A" w14:textId="3D56027F" w:rsidR="00CD438E" w:rsidRDefault="00CD281C" w:rsidP="00CC7157">
      <w:pPr>
        <w:spacing w:after="120"/>
        <w:jc w:val="both"/>
        <w:rPr>
          <w:rFonts w:ascii="Arial" w:hAnsi="Arial" w:cs="Arial"/>
          <w:b/>
          <w:color w:val="1F497D" w:themeColor="text2"/>
          <w:sz w:val="26"/>
          <w:szCs w:val="26"/>
        </w:rPr>
      </w:pPr>
      <w:r>
        <w:rPr>
          <w:rFonts w:ascii="Arial" w:hAnsi="Arial" w:cs="Arial"/>
          <w:b/>
          <w:color w:val="1F497D" w:themeColor="text2"/>
          <w:sz w:val="26"/>
          <w:szCs w:val="26"/>
        </w:rPr>
        <w:t>In calo</w:t>
      </w:r>
      <w:r w:rsidR="001F4E69">
        <w:rPr>
          <w:rFonts w:ascii="Arial" w:hAnsi="Arial" w:cs="Arial"/>
          <w:b/>
          <w:color w:val="1F497D" w:themeColor="text2"/>
          <w:sz w:val="26"/>
          <w:szCs w:val="26"/>
        </w:rPr>
        <w:t xml:space="preserve"> anche i f</w:t>
      </w:r>
      <w:r w:rsidR="00CD438E" w:rsidRPr="00CD438E">
        <w:rPr>
          <w:rFonts w:ascii="Arial" w:hAnsi="Arial" w:cs="Arial"/>
          <w:b/>
          <w:color w:val="1F497D" w:themeColor="text2"/>
          <w:sz w:val="26"/>
          <w:szCs w:val="26"/>
        </w:rPr>
        <w:t xml:space="preserve">lussi di materia </w:t>
      </w:r>
    </w:p>
    <w:p w14:paraId="37F8B514" w14:textId="41DCBCF7" w:rsidR="00CD438E" w:rsidRPr="00CD438E" w:rsidRDefault="00CD438E" w:rsidP="00CD438E">
      <w:pPr>
        <w:spacing w:after="120"/>
        <w:jc w:val="both"/>
        <w:rPr>
          <w:rFonts w:ascii="Arial" w:hAnsi="Arial" w:cs="Arial"/>
          <w:sz w:val="22"/>
          <w:szCs w:val="22"/>
        </w:rPr>
      </w:pPr>
      <w:r w:rsidRPr="00CD438E">
        <w:rPr>
          <w:rFonts w:ascii="Arial" w:hAnsi="Arial" w:cs="Arial"/>
          <w:sz w:val="22"/>
          <w:szCs w:val="22"/>
        </w:rPr>
        <w:t xml:space="preserve">Nel 2020, il Consumo </w:t>
      </w:r>
      <w:r w:rsidR="001D7AEF" w:rsidRPr="00CD438E">
        <w:rPr>
          <w:rFonts w:ascii="Arial" w:hAnsi="Arial" w:cs="Arial"/>
          <w:sz w:val="22"/>
          <w:szCs w:val="22"/>
        </w:rPr>
        <w:t xml:space="preserve">materiale interno </w:t>
      </w:r>
      <w:r w:rsidRPr="00CD438E">
        <w:rPr>
          <w:rFonts w:ascii="Arial" w:hAnsi="Arial" w:cs="Arial"/>
          <w:sz w:val="22"/>
          <w:szCs w:val="22"/>
        </w:rPr>
        <w:t>(</w:t>
      </w:r>
      <w:r w:rsidRPr="001B6007">
        <w:rPr>
          <w:rFonts w:ascii="Arial" w:hAnsi="Arial" w:cs="Arial"/>
          <w:i/>
          <w:iCs/>
          <w:sz w:val="22"/>
          <w:szCs w:val="22"/>
        </w:rPr>
        <w:t xml:space="preserve">Domestic </w:t>
      </w:r>
      <w:r w:rsidR="001D7AEF" w:rsidRPr="001B6007">
        <w:rPr>
          <w:rFonts w:ascii="Arial" w:hAnsi="Arial" w:cs="Arial"/>
          <w:i/>
          <w:iCs/>
          <w:sz w:val="22"/>
          <w:szCs w:val="22"/>
        </w:rPr>
        <w:t>material consumption</w:t>
      </w:r>
      <w:r w:rsidR="00781EEB">
        <w:rPr>
          <w:rFonts w:ascii="Arial" w:hAnsi="Arial" w:cs="Arial"/>
          <w:sz w:val="22"/>
          <w:szCs w:val="22"/>
        </w:rPr>
        <w:t>,</w:t>
      </w:r>
      <w:r w:rsidRPr="00CD438E">
        <w:rPr>
          <w:rFonts w:ascii="Arial" w:hAnsi="Arial" w:cs="Arial"/>
          <w:sz w:val="22"/>
          <w:szCs w:val="22"/>
        </w:rPr>
        <w:t xml:space="preserve"> Dmc) si è ridotto, in controtendenza rispetto alla sostanziale stabilità negli anni precedenti, attestandosi a 459 milioni di tonnellate (Mt), in calo di 38 M</w:t>
      </w:r>
      <w:r w:rsidR="00F56B09">
        <w:rPr>
          <w:rFonts w:ascii="Arial" w:hAnsi="Arial" w:cs="Arial"/>
          <w:sz w:val="22"/>
          <w:szCs w:val="22"/>
        </w:rPr>
        <w:t>t</w:t>
      </w:r>
      <w:r w:rsidRPr="00CD438E">
        <w:rPr>
          <w:rFonts w:ascii="Arial" w:hAnsi="Arial" w:cs="Arial"/>
          <w:sz w:val="22"/>
          <w:szCs w:val="22"/>
        </w:rPr>
        <w:t xml:space="preserve"> rispetto all’anno precedente (-7,7%).</w:t>
      </w:r>
    </w:p>
    <w:p w14:paraId="5B47813A" w14:textId="07811BF7" w:rsidR="00CD438E" w:rsidRPr="00CD438E" w:rsidRDefault="00CD438E" w:rsidP="00CD438E">
      <w:pPr>
        <w:spacing w:after="120"/>
        <w:jc w:val="both"/>
        <w:rPr>
          <w:rFonts w:ascii="Arial" w:hAnsi="Arial" w:cs="Arial"/>
          <w:sz w:val="22"/>
          <w:szCs w:val="22"/>
        </w:rPr>
      </w:pPr>
      <w:r w:rsidRPr="00CD438E">
        <w:rPr>
          <w:rFonts w:ascii="Arial" w:hAnsi="Arial" w:cs="Arial"/>
          <w:sz w:val="22"/>
          <w:szCs w:val="22"/>
        </w:rPr>
        <w:t>A</w:t>
      </w:r>
      <w:r w:rsidR="00161A15">
        <w:rPr>
          <w:rFonts w:ascii="Arial" w:hAnsi="Arial" w:cs="Arial"/>
          <w:sz w:val="22"/>
          <w:szCs w:val="22"/>
        </w:rPr>
        <w:t>lla</w:t>
      </w:r>
      <w:r w:rsidRPr="00CD438E">
        <w:rPr>
          <w:rFonts w:ascii="Arial" w:hAnsi="Arial" w:cs="Arial"/>
          <w:sz w:val="22"/>
          <w:szCs w:val="22"/>
        </w:rPr>
        <w:t xml:space="preserve"> riduzion</w:t>
      </w:r>
      <w:r w:rsidR="00161A15">
        <w:rPr>
          <w:rFonts w:ascii="Arial" w:hAnsi="Arial" w:cs="Arial"/>
          <w:sz w:val="22"/>
          <w:szCs w:val="22"/>
        </w:rPr>
        <w:t>e</w:t>
      </w:r>
      <w:r w:rsidRPr="00CD438E">
        <w:rPr>
          <w:rFonts w:ascii="Arial" w:hAnsi="Arial" w:cs="Arial"/>
          <w:sz w:val="22"/>
          <w:szCs w:val="22"/>
        </w:rPr>
        <w:t xml:space="preserve"> contribui</w:t>
      </w:r>
      <w:r w:rsidR="00161A15">
        <w:rPr>
          <w:rFonts w:ascii="Arial" w:hAnsi="Arial" w:cs="Arial"/>
          <w:sz w:val="22"/>
          <w:szCs w:val="22"/>
        </w:rPr>
        <w:t>sce</w:t>
      </w:r>
      <w:r w:rsidRPr="00CD438E">
        <w:rPr>
          <w:rFonts w:ascii="Arial" w:hAnsi="Arial" w:cs="Arial"/>
          <w:sz w:val="22"/>
          <w:szCs w:val="22"/>
        </w:rPr>
        <w:t xml:space="preserve"> sia la componente dell’Estrazione </w:t>
      </w:r>
      <w:r w:rsidR="001D7AEF">
        <w:rPr>
          <w:rFonts w:ascii="Arial" w:hAnsi="Arial" w:cs="Arial"/>
          <w:sz w:val="22"/>
          <w:szCs w:val="22"/>
        </w:rPr>
        <w:t>i</w:t>
      </w:r>
      <w:r w:rsidRPr="00CD438E">
        <w:rPr>
          <w:rFonts w:ascii="Arial" w:hAnsi="Arial" w:cs="Arial"/>
          <w:sz w:val="22"/>
          <w:szCs w:val="22"/>
        </w:rPr>
        <w:t>nterna (E</w:t>
      </w:r>
      <w:r w:rsidR="005A7877">
        <w:rPr>
          <w:rFonts w:ascii="Arial" w:hAnsi="Arial" w:cs="Arial"/>
          <w:sz w:val="22"/>
          <w:szCs w:val="22"/>
        </w:rPr>
        <w:t>i</w:t>
      </w:r>
      <w:r w:rsidRPr="00CD438E">
        <w:rPr>
          <w:rFonts w:ascii="Arial" w:hAnsi="Arial" w:cs="Arial"/>
          <w:sz w:val="22"/>
          <w:szCs w:val="22"/>
        </w:rPr>
        <w:t>), passata da 331 a 319,5 M</w:t>
      </w:r>
      <w:r w:rsidR="00F56B09">
        <w:rPr>
          <w:rFonts w:ascii="Arial" w:hAnsi="Arial" w:cs="Arial"/>
          <w:sz w:val="22"/>
          <w:szCs w:val="22"/>
        </w:rPr>
        <w:t>t</w:t>
      </w:r>
      <w:r w:rsidRPr="00CD438E">
        <w:rPr>
          <w:rFonts w:ascii="Arial" w:hAnsi="Arial" w:cs="Arial"/>
          <w:sz w:val="22"/>
          <w:szCs w:val="22"/>
        </w:rPr>
        <w:t xml:space="preserve"> </w:t>
      </w:r>
      <w:r w:rsidR="00161A15">
        <w:rPr>
          <w:rFonts w:ascii="Arial" w:hAnsi="Arial" w:cs="Arial"/>
          <w:sz w:val="22"/>
          <w:szCs w:val="22"/>
        </w:rPr>
        <w:br/>
      </w:r>
      <w:r w:rsidR="001D7AEF">
        <w:rPr>
          <w:rFonts w:ascii="Arial" w:hAnsi="Arial" w:cs="Arial"/>
          <w:sz w:val="22"/>
          <w:szCs w:val="22"/>
        </w:rPr>
        <w:t>(-3,5%), sia quella dei Flussi n</w:t>
      </w:r>
      <w:r w:rsidRPr="00CD438E">
        <w:rPr>
          <w:rFonts w:ascii="Arial" w:hAnsi="Arial" w:cs="Arial"/>
          <w:sz w:val="22"/>
          <w:szCs w:val="22"/>
        </w:rPr>
        <w:t>etti dall’estero (</w:t>
      </w:r>
      <w:r w:rsidRPr="001B6007">
        <w:rPr>
          <w:rFonts w:ascii="Arial" w:hAnsi="Arial" w:cs="Arial"/>
          <w:i/>
          <w:iCs/>
          <w:sz w:val="22"/>
          <w:szCs w:val="22"/>
        </w:rPr>
        <w:t xml:space="preserve">Physical </w:t>
      </w:r>
      <w:r w:rsidR="001D7AEF" w:rsidRPr="001B6007">
        <w:rPr>
          <w:rFonts w:ascii="Arial" w:hAnsi="Arial" w:cs="Arial"/>
          <w:i/>
          <w:iCs/>
          <w:sz w:val="22"/>
          <w:szCs w:val="22"/>
        </w:rPr>
        <w:t>trade balance</w:t>
      </w:r>
      <w:r w:rsidR="00161A15">
        <w:rPr>
          <w:rFonts w:ascii="Arial" w:hAnsi="Arial" w:cs="Arial"/>
          <w:sz w:val="22"/>
          <w:szCs w:val="22"/>
        </w:rPr>
        <w:t>,</w:t>
      </w:r>
      <w:r w:rsidRPr="00CD438E">
        <w:rPr>
          <w:rFonts w:ascii="Arial" w:hAnsi="Arial" w:cs="Arial"/>
          <w:sz w:val="22"/>
          <w:szCs w:val="22"/>
        </w:rPr>
        <w:t xml:space="preserve"> Ptb</w:t>
      </w:r>
      <w:r w:rsidR="00161A15">
        <w:rPr>
          <w:rFonts w:ascii="Arial" w:hAnsi="Arial" w:cs="Arial"/>
          <w:sz w:val="22"/>
          <w:szCs w:val="22"/>
        </w:rPr>
        <w:t>; -</w:t>
      </w:r>
      <w:r w:rsidRPr="00CD438E">
        <w:rPr>
          <w:rFonts w:ascii="Arial" w:hAnsi="Arial" w:cs="Arial"/>
          <w:sz w:val="22"/>
          <w:szCs w:val="22"/>
        </w:rPr>
        <w:t>16,1%</w:t>
      </w:r>
      <w:r w:rsidR="00161A15">
        <w:rPr>
          <w:rFonts w:ascii="Arial" w:hAnsi="Arial" w:cs="Arial"/>
          <w:sz w:val="22"/>
          <w:szCs w:val="22"/>
        </w:rPr>
        <w:t>)</w:t>
      </w:r>
      <w:r w:rsidRPr="00CD438E">
        <w:rPr>
          <w:rFonts w:ascii="Arial" w:hAnsi="Arial" w:cs="Arial"/>
          <w:sz w:val="22"/>
          <w:szCs w:val="22"/>
        </w:rPr>
        <w:t xml:space="preserve">. </w:t>
      </w:r>
    </w:p>
    <w:p w14:paraId="61357A6A" w14:textId="180FF529" w:rsidR="00CD438E" w:rsidRPr="00CD438E" w:rsidRDefault="00CD438E" w:rsidP="00CD438E">
      <w:pPr>
        <w:spacing w:after="120"/>
        <w:jc w:val="both"/>
        <w:rPr>
          <w:rFonts w:ascii="Arial" w:hAnsi="Arial" w:cs="Arial"/>
          <w:sz w:val="22"/>
          <w:szCs w:val="22"/>
        </w:rPr>
      </w:pPr>
      <w:r w:rsidRPr="00CD438E">
        <w:rPr>
          <w:rFonts w:ascii="Arial" w:hAnsi="Arial" w:cs="Arial"/>
          <w:sz w:val="22"/>
          <w:szCs w:val="22"/>
        </w:rPr>
        <w:t xml:space="preserve">In termini di materiali, </w:t>
      </w:r>
      <w:r w:rsidR="00A322FE">
        <w:rPr>
          <w:rFonts w:ascii="Arial" w:hAnsi="Arial" w:cs="Arial"/>
          <w:sz w:val="22"/>
          <w:szCs w:val="22"/>
        </w:rPr>
        <w:t>impatta su</w:t>
      </w:r>
      <w:r w:rsidRPr="00CD438E">
        <w:rPr>
          <w:rFonts w:ascii="Arial" w:hAnsi="Arial" w:cs="Arial"/>
          <w:sz w:val="22"/>
          <w:szCs w:val="22"/>
        </w:rPr>
        <w:t xml:space="preserve">l Ptb </w:t>
      </w:r>
      <w:r w:rsidR="00A322FE">
        <w:rPr>
          <w:rFonts w:ascii="Arial" w:hAnsi="Arial" w:cs="Arial"/>
          <w:sz w:val="22"/>
          <w:szCs w:val="22"/>
        </w:rPr>
        <w:t xml:space="preserve">soprattutto </w:t>
      </w:r>
      <w:r w:rsidR="005A6B3B">
        <w:rPr>
          <w:rFonts w:ascii="Arial" w:hAnsi="Arial" w:cs="Arial"/>
          <w:sz w:val="22"/>
          <w:szCs w:val="22"/>
        </w:rPr>
        <w:t>il calo dei</w:t>
      </w:r>
      <w:r w:rsidRPr="00CD438E">
        <w:rPr>
          <w:rFonts w:ascii="Arial" w:hAnsi="Arial" w:cs="Arial"/>
          <w:sz w:val="22"/>
          <w:szCs w:val="22"/>
        </w:rPr>
        <w:t xml:space="preserve"> minerali energetici e prodotti da essi derivati </w:t>
      </w:r>
      <w:r w:rsidRPr="00CD281C">
        <w:rPr>
          <w:rFonts w:ascii="Arial" w:hAnsi="Arial" w:cs="Arial"/>
          <w:sz w:val="22"/>
          <w:szCs w:val="22"/>
        </w:rPr>
        <w:t>(</w:t>
      </w:r>
      <w:r w:rsidR="00A322FE" w:rsidRPr="00CD281C">
        <w:rPr>
          <w:rFonts w:ascii="Arial" w:hAnsi="Arial" w:cs="Arial"/>
          <w:sz w:val="22"/>
          <w:szCs w:val="22"/>
        </w:rPr>
        <w:t>-</w:t>
      </w:r>
      <w:r w:rsidRPr="00CD281C">
        <w:rPr>
          <w:rFonts w:ascii="Arial" w:hAnsi="Arial" w:cs="Arial"/>
          <w:sz w:val="22"/>
          <w:szCs w:val="22"/>
        </w:rPr>
        <w:t>13,7%</w:t>
      </w:r>
      <w:r w:rsidR="00A322FE">
        <w:rPr>
          <w:rFonts w:ascii="Arial" w:hAnsi="Arial" w:cs="Arial"/>
          <w:sz w:val="22"/>
          <w:szCs w:val="22"/>
        </w:rPr>
        <w:t xml:space="preserve">, </w:t>
      </w:r>
      <w:r w:rsidRPr="00CD438E">
        <w:rPr>
          <w:rFonts w:ascii="Arial" w:hAnsi="Arial" w:cs="Arial"/>
          <w:sz w:val="22"/>
          <w:szCs w:val="22"/>
        </w:rPr>
        <w:t>pari a 18 milioni di tonnellate), mentre in termini relativi i minerali metalliferi e prodotti derivati si riducono più marcatamente, passando da 14 a 9,5 milioni di tonnellate (</w:t>
      </w:r>
      <w:r w:rsidR="005A6B3B">
        <w:rPr>
          <w:rFonts w:ascii="Arial" w:hAnsi="Arial" w:cs="Arial"/>
          <w:sz w:val="22"/>
          <w:szCs w:val="22"/>
        </w:rPr>
        <w:t>-</w:t>
      </w:r>
      <w:r w:rsidRPr="00CD438E">
        <w:rPr>
          <w:rFonts w:ascii="Arial" w:hAnsi="Arial" w:cs="Arial"/>
          <w:sz w:val="22"/>
          <w:szCs w:val="22"/>
        </w:rPr>
        <w:t xml:space="preserve">32%). </w:t>
      </w:r>
    </w:p>
    <w:p w14:paraId="5BA6275F" w14:textId="6780092A" w:rsidR="00CD438E" w:rsidRPr="00CD438E" w:rsidRDefault="00637CFA" w:rsidP="00CD438E">
      <w:pPr>
        <w:spacing w:after="120"/>
        <w:jc w:val="both"/>
        <w:rPr>
          <w:rFonts w:ascii="Arial" w:hAnsi="Arial" w:cs="Arial"/>
          <w:sz w:val="22"/>
          <w:szCs w:val="22"/>
        </w:rPr>
      </w:pPr>
      <w:r>
        <w:rPr>
          <w:rFonts w:ascii="Arial" w:hAnsi="Arial" w:cs="Arial"/>
          <w:sz w:val="22"/>
          <w:szCs w:val="22"/>
        </w:rPr>
        <w:t>È s</w:t>
      </w:r>
      <w:r w:rsidR="00E62A04">
        <w:rPr>
          <w:rFonts w:ascii="Arial" w:hAnsi="Arial" w:cs="Arial"/>
          <w:sz w:val="22"/>
          <w:szCs w:val="22"/>
        </w:rPr>
        <w:t>oprattutto</w:t>
      </w:r>
      <w:r>
        <w:rPr>
          <w:rFonts w:ascii="Arial" w:hAnsi="Arial" w:cs="Arial"/>
          <w:sz w:val="22"/>
          <w:szCs w:val="22"/>
        </w:rPr>
        <w:t xml:space="preserve"> </w:t>
      </w:r>
      <w:r w:rsidR="005A7877">
        <w:rPr>
          <w:rFonts w:ascii="Arial" w:hAnsi="Arial" w:cs="Arial"/>
          <w:sz w:val="22"/>
          <w:szCs w:val="22"/>
        </w:rPr>
        <w:t>l’</w:t>
      </w:r>
      <w:r w:rsidR="005A7877" w:rsidRPr="00CD438E">
        <w:rPr>
          <w:rFonts w:ascii="Arial" w:hAnsi="Arial" w:cs="Arial"/>
          <w:sz w:val="22"/>
          <w:szCs w:val="22"/>
        </w:rPr>
        <w:t xml:space="preserve">Estrazione </w:t>
      </w:r>
      <w:r w:rsidR="00483C76">
        <w:rPr>
          <w:rFonts w:ascii="Arial" w:hAnsi="Arial" w:cs="Arial"/>
          <w:sz w:val="22"/>
          <w:szCs w:val="22"/>
        </w:rPr>
        <w:t>i</w:t>
      </w:r>
      <w:r w:rsidR="005A7877" w:rsidRPr="00CD438E">
        <w:rPr>
          <w:rFonts w:ascii="Arial" w:hAnsi="Arial" w:cs="Arial"/>
          <w:sz w:val="22"/>
          <w:szCs w:val="22"/>
        </w:rPr>
        <w:t>nterna</w:t>
      </w:r>
      <w:r w:rsidR="005A7877">
        <w:rPr>
          <w:rFonts w:ascii="Arial" w:hAnsi="Arial" w:cs="Arial"/>
          <w:sz w:val="22"/>
          <w:szCs w:val="22"/>
        </w:rPr>
        <w:t xml:space="preserve"> </w:t>
      </w:r>
      <w:r>
        <w:rPr>
          <w:rFonts w:ascii="Arial" w:hAnsi="Arial" w:cs="Arial"/>
          <w:sz w:val="22"/>
          <w:szCs w:val="22"/>
        </w:rPr>
        <w:t>a contribuire a</w:t>
      </w:r>
      <w:r w:rsidR="005A7877">
        <w:rPr>
          <w:rFonts w:ascii="Arial" w:hAnsi="Arial" w:cs="Arial"/>
          <w:sz w:val="22"/>
          <w:szCs w:val="22"/>
        </w:rPr>
        <w:t>lla diminuzione (</w:t>
      </w:r>
      <w:r w:rsidR="00CD438E" w:rsidRPr="00CD438E">
        <w:rPr>
          <w:rFonts w:ascii="Arial" w:hAnsi="Arial" w:cs="Arial"/>
          <w:sz w:val="22"/>
          <w:szCs w:val="22"/>
        </w:rPr>
        <w:t>da 221 Mt a 208 Mt</w:t>
      </w:r>
      <w:r w:rsidR="005A7877">
        <w:rPr>
          <w:rFonts w:ascii="Arial" w:hAnsi="Arial" w:cs="Arial"/>
          <w:sz w:val="22"/>
          <w:szCs w:val="22"/>
        </w:rPr>
        <w:t>)</w:t>
      </w:r>
      <w:r w:rsidR="00CD438E" w:rsidRPr="00CD438E">
        <w:rPr>
          <w:rFonts w:ascii="Arial" w:hAnsi="Arial" w:cs="Arial"/>
          <w:sz w:val="22"/>
          <w:szCs w:val="22"/>
        </w:rPr>
        <w:t xml:space="preserve"> della componente del Dmc relativa ai minerali non metalliferi.</w:t>
      </w:r>
      <w:r w:rsidR="002C5D36">
        <w:rPr>
          <w:rFonts w:ascii="Arial" w:hAnsi="Arial" w:cs="Arial"/>
          <w:sz w:val="22"/>
          <w:szCs w:val="22"/>
        </w:rPr>
        <w:t xml:space="preserve"> N</w:t>
      </w:r>
      <w:r w:rsidR="00CD438E" w:rsidRPr="00CD438E">
        <w:rPr>
          <w:rFonts w:ascii="Arial" w:hAnsi="Arial" w:cs="Arial"/>
          <w:sz w:val="22"/>
          <w:szCs w:val="22"/>
        </w:rPr>
        <w:t>ell’ambito del</w:t>
      </w:r>
      <w:r w:rsidR="00483C76">
        <w:rPr>
          <w:rFonts w:ascii="Arial" w:hAnsi="Arial" w:cs="Arial"/>
          <w:sz w:val="22"/>
          <w:szCs w:val="22"/>
        </w:rPr>
        <w:t>l’Estrazione i</w:t>
      </w:r>
      <w:r w:rsidR="00CD281C">
        <w:rPr>
          <w:rFonts w:ascii="Arial" w:hAnsi="Arial" w:cs="Arial"/>
          <w:sz w:val="22"/>
          <w:szCs w:val="22"/>
        </w:rPr>
        <w:t>nterna</w:t>
      </w:r>
      <w:r w:rsidR="00CD438E" w:rsidRPr="00CD438E">
        <w:rPr>
          <w:rFonts w:ascii="Arial" w:hAnsi="Arial" w:cs="Arial"/>
          <w:sz w:val="22"/>
          <w:szCs w:val="22"/>
        </w:rPr>
        <w:t xml:space="preserve"> aumenta la quota delle biomasse</w:t>
      </w:r>
      <w:r w:rsidR="002C5D36">
        <w:rPr>
          <w:rFonts w:ascii="Arial" w:hAnsi="Arial" w:cs="Arial"/>
          <w:sz w:val="22"/>
          <w:szCs w:val="22"/>
        </w:rPr>
        <w:t xml:space="preserve"> (</w:t>
      </w:r>
      <w:r w:rsidR="00CD438E" w:rsidRPr="00CD438E">
        <w:rPr>
          <w:rFonts w:ascii="Arial" w:hAnsi="Arial" w:cs="Arial"/>
          <w:sz w:val="22"/>
          <w:szCs w:val="22"/>
        </w:rPr>
        <w:t>dal 30,9% al 32,2% del totale del peso dei materiali estratti internamente e incorporati in prodotti</w:t>
      </w:r>
      <w:r w:rsidR="002C5D36">
        <w:rPr>
          <w:rFonts w:ascii="Arial" w:hAnsi="Arial" w:cs="Arial"/>
          <w:sz w:val="22"/>
          <w:szCs w:val="22"/>
        </w:rPr>
        <w:t>)</w:t>
      </w:r>
      <w:r w:rsidR="00CD438E" w:rsidRPr="00CD438E">
        <w:rPr>
          <w:rFonts w:ascii="Arial" w:hAnsi="Arial" w:cs="Arial"/>
          <w:sz w:val="22"/>
          <w:szCs w:val="22"/>
        </w:rPr>
        <w:t xml:space="preserve"> </w:t>
      </w:r>
      <w:r w:rsidR="002C5D36">
        <w:rPr>
          <w:rFonts w:ascii="Arial" w:hAnsi="Arial" w:cs="Arial"/>
          <w:sz w:val="22"/>
          <w:szCs w:val="22"/>
        </w:rPr>
        <w:t xml:space="preserve">il cui prelievo in quantità resta </w:t>
      </w:r>
      <w:r w:rsidR="00CD438E" w:rsidRPr="00CD438E">
        <w:rPr>
          <w:rFonts w:ascii="Arial" w:hAnsi="Arial" w:cs="Arial"/>
          <w:sz w:val="22"/>
          <w:szCs w:val="22"/>
        </w:rPr>
        <w:t>stabil</w:t>
      </w:r>
      <w:r w:rsidR="002C5D36">
        <w:rPr>
          <w:rFonts w:ascii="Arial" w:hAnsi="Arial" w:cs="Arial"/>
          <w:sz w:val="22"/>
          <w:szCs w:val="22"/>
        </w:rPr>
        <w:t>e</w:t>
      </w:r>
      <w:r w:rsidR="00CD438E" w:rsidRPr="00CD438E">
        <w:rPr>
          <w:rFonts w:ascii="Arial" w:hAnsi="Arial" w:cs="Arial"/>
          <w:sz w:val="22"/>
          <w:szCs w:val="22"/>
        </w:rPr>
        <w:t xml:space="preserve"> tra i 102 Mt e i 103 Mt. </w:t>
      </w:r>
      <w:r w:rsidR="002C5D36">
        <w:rPr>
          <w:rFonts w:ascii="Arial" w:hAnsi="Arial" w:cs="Arial"/>
          <w:sz w:val="22"/>
          <w:szCs w:val="22"/>
        </w:rPr>
        <w:t>C</w:t>
      </w:r>
      <w:r w:rsidR="002C5D36" w:rsidRPr="00CD438E">
        <w:rPr>
          <w:rFonts w:ascii="Arial" w:hAnsi="Arial" w:cs="Arial"/>
          <w:sz w:val="22"/>
          <w:szCs w:val="22"/>
        </w:rPr>
        <w:t xml:space="preserve">rescono </w:t>
      </w:r>
      <w:r w:rsidR="002C5D36">
        <w:rPr>
          <w:rFonts w:ascii="Arial" w:hAnsi="Arial" w:cs="Arial"/>
          <w:sz w:val="22"/>
          <w:szCs w:val="22"/>
        </w:rPr>
        <w:t>invece l</w:t>
      </w:r>
      <w:r w:rsidR="00CD438E" w:rsidRPr="00CD438E">
        <w:rPr>
          <w:rFonts w:ascii="Arial" w:hAnsi="Arial" w:cs="Arial"/>
          <w:sz w:val="22"/>
          <w:szCs w:val="22"/>
        </w:rPr>
        <w:t xml:space="preserve">e estrazioni dirette dalla natura di minerali energetici </w:t>
      </w:r>
      <w:r w:rsidR="002C5D36">
        <w:rPr>
          <w:rFonts w:ascii="Arial" w:hAnsi="Arial" w:cs="Arial"/>
          <w:sz w:val="22"/>
          <w:szCs w:val="22"/>
        </w:rPr>
        <w:t>(</w:t>
      </w:r>
      <w:r w:rsidR="00CD438E" w:rsidRPr="00CD438E">
        <w:rPr>
          <w:rFonts w:ascii="Arial" w:hAnsi="Arial" w:cs="Arial"/>
          <w:sz w:val="22"/>
          <w:szCs w:val="22"/>
        </w:rPr>
        <w:t>dal 2,3% al 2,7% della Ei</w:t>
      </w:r>
      <w:r w:rsidR="002C5D36">
        <w:rPr>
          <w:rFonts w:ascii="Arial" w:hAnsi="Arial" w:cs="Arial"/>
          <w:sz w:val="22"/>
          <w:szCs w:val="22"/>
        </w:rPr>
        <w:t>)</w:t>
      </w:r>
      <w:r w:rsidR="00CD438E" w:rsidRPr="00CD438E">
        <w:rPr>
          <w:rFonts w:ascii="Arial" w:hAnsi="Arial" w:cs="Arial"/>
          <w:sz w:val="22"/>
          <w:szCs w:val="22"/>
        </w:rPr>
        <w:t>.</w:t>
      </w:r>
    </w:p>
    <w:p w14:paraId="104152D0" w14:textId="435FC7B6" w:rsidR="00CD438E" w:rsidRPr="00CD438E" w:rsidRDefault="00CD438E" w:rsidP="00CD438E">
      <w:pPr>
        <w:spacing w:after="120"/>
        <w:jc w:val="both"/>
        <w:rPr>
          <w:rFonts w:ascii="Arial" w:hAnsi="Arial" w:cs="Arial"/>
          <w:sz w:val="22"/>
          <w:szCs w:val="22"/>
        </w:rPr>
      </w:pPr>
      <w:r w:rsidRPr="00CD438E">
        <w:rPr>
          <w:rFonts w:ascii="Arial" w:hAnsi="Arial" w:cs="Arial"/>
          <w:sz w:val="22"/>
          <w:szCs w:val="22"/>
        </w:rPr>
        <w:t xml:space="preserve">L’intensità del </w:t>
      </w:r>
      <w:r w:rsidR="00483C76">
        <w:rPr>
          <w:rFonts w:ascii="Arial" w:hAnsi="Arial" w:cs="Arial"/>
          <w:sz w:val="22"/>
          <w:szCs w:val="22"/>
        </w:rPr>
        <w:t>Consumo m</w:t>
      </w:r>
      <w:r w:rsidR="002C5D36" w:rsidRPr="00CD438E">
        <w:rPr>
          <w:rFonts w:ascii="Arial" w:hAnsi="Arial" w:cs="Arial"/>
          <w:sz w:val="22"/>
          <w:szCs w:val="22"/>
        </w:rPr>
        <w:t xml:space="preserve">ateriale </w:t>
      </w:r>
      <w:r w:rsidRPr="00CD438E">
        <w:rPr>
          <w:rFonts w:ascii="Arial" w:hAnsi="Arial" w:cs="Arial"/>
          <w:sz w:val="22"/>
          <w:szCs w:val="22"/>
        </w:rPr>
        <w:t>sul Pil è leggermente aumentata, in linea con la tendenza degli ultimi anni, passando da 288 a 292 tonnellate per milione di euro.</w:t>
      </w:r>
    </w:p>
    <w:p w14:paraId="6EA3BDF4" w14:textId="4FEA7923" w:rsidR="00CE6579" w:rsidRDefault="00CD438E" w:rsidP="00CD438E">
      <w:pPr>
        <w:spacing w:after="120"/>
        <w:jc w:val="both"/>
        <w:rPr>
          <w:rFonts w:ascii="Arial" w:hAnsi="Arial" w:cs="Arial"/>
          <w:sz w:val="22"/>
          <w:szCs w:val="22"/>
        </w:rPr>
      </w:pPr>
      <w:r w:rsidRPr="00CD438E">
        <w:rPr>
          <w:rFonts w:ascii="Arial" w:hAnsi="Arial" w:cs="Arial"/>
          <w:sz w:val="22"/>
          <w:szCs w:val="22"/>
        </w:rPr>
        <w:t xml:space="preserve">La quantità e la composizione della materia </w:t>
      </w:r>
      <w:r w:rsidR="002C5D36">
        <w:rPr>
          <w:rFonts w:ascii="Arial" w:hAnsi="Arial" w:cs="Arial"/>
          <w:sz w:val="22"/>
          <w:szCs w:val="22"/>
        </w:rPr>
        <w:t>da cui</w:t>
      </w:r>
      <w:r w:rsidRPr="00CD438E">
        <w:rPr>
          <w:rFonts w:ascii="Arial" w:hAnsi="Arial" w:cs="Arial"/>
          <w:sz w:val="22"/>
          <w:szCs w:val="22"/>
        </w:rPr>
        <w:t xml:space="preserve"> il sistema socioeconomico italiano trae energia e beni materiali generando residui </w:t>
      </w:r>
      <w:r w:rsidR="002C5D36">
        <w:rPr>
          <w:rFonts w:ascii="Arial" w:hAnsi="Arial" w:cs="Arial"/>
          <w:sz w:val="22"/>
          <w:szCs w:val="22"/>
        </w:rPr>
        <w:t>(</w:t>
      </w:r>
      <w:r w:rsidRPr="00CD438E">
        <w:rPr>
          <w:rFonts w:ascii="Arial" w:hAnsi="Arial" w:cs="Arial"/>
          <w:sz w:val="22"/>
          <w:szCs w:val="22"/>
        </w:rPr>
        <w:t>tra i quali le emissioni in atmosfera</w:t>
      </w:r>
      <w:r w:rsidR="002C5D36">
        <w:rPr>
          <w:rFonts w:ascii="Arial" w:hAnsi="Arial" w:cs="Arial"/>
          <w:sz w:val="22"/>
          <w:szCs w:val="22"/>
        </w:rPr>
        <w:t>)</w:t>
      </w:r>
      <w:r w:rsidRPr="00CD438E">
        <w:rPr>
          <w:rFonts w:ascii="Arial" w:hAnsi="Arial" w:cs="Arial"/>
          <w:sz w:val="22"/>
          <w:szCs w:val="22"/>
        </w:rPr>
        <w:t xml:space="preserve"> sono mutate notevolmente nel corso dei decenni, in maniera corrispondente alle modifiche strutturali dell’economia. </w:t>
      </w:r>
    </w:p>
    <w:p w14:paraId="31C51E04" w14:textId="43287399" w:rsidR="005B5197" w:rsidRDefault="00880E82" w:rsidP="00CD438E">
      <w:pPr>
        <w:spacing w:after="120"/>
        <w:jc w:val="both"/>
        <w:rPr>
          <w:rFonts w:ascii="Arial" w:hAnsi="Arial" w:cs="Arial"/>
          <w:sz w:val="22"/>
          <w:szCs w:val="22"/>
        </w:rPr>
      </w:pPr>
      <w:r w:rsidRPr="00CE7D0F">
        <w:rPr>
          <w:rFonts w:ascii="Arial" w:hAnsi="Arial" w:cs="Arial"/>
          <w:sz w:val="22"/>
          <w:szCs w:val="22"/>
        </w:rPr>
        <w:t>L</w:t>
      </w:r>
      <w:r w:rsidR="00CD438E" w:rsidRPr="00CE7D0F">
        <w:rPr>
          <w:rFonts w:ascii="Arial" w:hAnsi="Arial" w:cs="Arial"/>
          <w:sz w:val="22"/>
          <w:szCs w:val="22"/>
        </w:rPr>
        <w:t>e variazioni annuali dovute alle misure di gestione della pandemia</w:t>
      </w:r>
      <w:r w:rsidR="00CE6579" w:rsidRPr="00CE7D0F">
        <w:rPr>
          <w:rFonts w:ascii="Arial" w:hAnsi="Arial" w:cs="Arial"/>
          <w:sz w:val="22"/>
          <w:szCs w:val="22"/>
        </w:rPr>
        <w:t xml:space="preserve"> devono essere lette</w:t>
      </w:r>
      <w:r w:rsidR="00CD438E" w:rsidRPr="00CE7D0F">
        <w:rPr>
          <w:rFonts w:ascii="Arial" w:hAnsi="Arial" w:cs="Arial"/>
          <w:sz w:val="22"/>
          <w:szCs w:val="22"/>
        </w:rPr>
        <w:t xml:space="preserve"> nel lungo</w:t>
      </w:r>
      <w:r w:rsidR="00CD438E" w:rsidRPr="00CD438E">
        <w:rPr>
          <w:rFonts w:ascii="Arial" w:hAnsi="Arial" w:cs="Arial"/>
          <w:sz w:val="22"/>
          <w:szCs w:val="22"/>
        </w:rPr>
        <w:t xml:space="preserve"> periodo</w:t>
      </w:r>
      <w:r w:rsidR="00CE6579">
        <w:rPr>
          <w:rFonts w:ascii="Arial" w:hAnsi="Arial" w:cs="Arial"/>
          <w:sz w:val="22"/>
          <w:szCs w:val="22"/>
        </w:rPr>
        <w:t>: soltanto</w:t>
      </w:r>
      <w:r w:rsidR="00CD438E" w:rsidRPr="00CD438E">
        <w:rPr>
          <w:rFonts w:ascii="Arial" w:hAnsi="Arial" w:cs="Arial"/>
          <w:sz w:val="22"/>
          <w:szCs w:val="22"/>
        </w:rPr>
        <w:t xml:space="preserve"> dagli anni 1990</w:t>
      </w:r>
      <w:r w:rsidR="00CE6579">
        <w:rPr>
          <w:rFonts w:ascii="Arial" w:hAnsi="Arial" w:cs="Arial"/>
          <w:sz w:val="22"/>
          <w:szCs w:val="22"/>
        </w:rPr>
        <w:t xml:space="preserve"> si è invertita </w:t>
      </w:r>
      <w:r w:rsidR="00CD438E" w:rsidRPr="00CD438E">
        <w:rPr>
          <w:rFonts w:ascii="Arial" w:hAnsi="Arial" w:cs="Arial"/>
          <w:sz w:val="22"/>
          <w:szCs w:val="22"/>
        </w:rPr>
        <w:t xml:space="preserve">la tendenza alla crescita </w:t>
      </w:r>
      <w:r w:rsidR="00CE6579">
        <w:rPr>
          <w:rFonts w:ascii="Arial" w:hAnsi="Arial" w:cs="Arial"/>
          <w:sz w:val="22"/>
          <w:szCs w:val="22"/>
        </w:rPr>
        <w:t xml:space="preserve">registrata </w:t>
      </w:r>
      <w:r w:rsidR="00CD438E" w:rsidRPr="00CD438E">
        <w:rPr>
          <w:rFonts w:ascii="Arial" w:hAnsi="Arial" w:cs="Arial"/>
          <w:sz w:val="22"/>
          <w:szCs w:val="22"/>
        </w:rPr>
        <w:t>d</w:t>
      </w:r>
      <w:r w:rsidR="00CE6579">
        <w:rPr>
          <w:rFonts w:ascii="Arial" w:hAnsi="Arial" w:cs="Arial"/>
          <w:sz w:val="22"/>
          <w:szCs w:val="22"/>
        </w:rPr>
        <w:t>a</w:t>
      </w:r>
      <w:r w:rsidR="00CD438E" w:rsidRPr="00CD438E">
        <w:rPr>
          <w:rFonts w:ascii="Arial" w:hAnsi="Arial" w:cs="Arial"/>
          <w:sz w:val="22"/>
          <w:szCs w:val="22"/>
        </w:rPr>
        <w:t xml:space="preserve">l dopoguerra e </w:t>
      </w:r>
      <w:r w:rsidR="00CE6579">
        <w:rPr>
          <w:rFonts w:ascii="Arial" w:hAnsi="Arial" w:cs="Arial"/>
          <w:sz w:val="22"/>
          <w:szCs w:val="22"/>
        </w:rPr>
        <w:t xml:space="preserve">si sono </w:t>
      </w:r>
      <w:r w:rsidR="00CD438E" w:rsidRPr="00CD438E">
        <w:rPr>
          <w:rFonts w:ascii="Arial" w:hAnsi="Arial" w:cs="Arial"/>
          <w:sz w:val="22"/>
          <w:szCs w:val="22"/>
        </w:rPr>
        <w:t>quindi progressivamente rid</w:t>
      </w:r>
      <w:r w:rsidR="00CE6579">
        <w:rPr>
          <w:rFonts w:ascii="Arial" w:hAnsi="Arial" w:cs="Arial"/>
          <w:sz w:val="22"/>
          <w:szCs w:val="22"/>
        </w:rPr>
        <w:t>otte</w:t>
      </w:r>
      <w:r w:rsidR="00CD438E" w:rsidRPr="00CD438E">
        <w:rPr>
          <w:rFonts w:ascii="Arial" w:hAnsi="Arial" w:cs="Arial"/>
          <w:sz w:val="22"/>
          <w:szCs w:val="22"/>
        </w:rPr>
        <w:t xml:space="preserve"> le quantità “consumate”, con una composizione che continua a cambiare in favore dei flussi dall’estero e dei combustibili fossili a scapito dei minerali da costruzione e delle biomasse di estrazione interna.</w:t>
      </w:r>
    </w:p>
    <w:p w14:paraId="440394B5" w14:textId="63DB0850" w:rsidR="00CD438E" w:rsidRDefault="00CD438E" w:rsidP="00CD438E">
      <w:pPr>
        <w:spacing w:after="120"/>
        <w:jc w:val="both"/>
        <w:rPr>
          <w:rFonts w:ascii="Arial" w:hAnsi="Arial" w:cs="Arial"/>
          <w:sz w:val="22"/>
          <w:szCs w:val="22"/>
        </w:rPr>
      </w:pPr>
    </w:p>
    <w:p w14:paraId="64DAE15E" w14:textId="365AA793" w:rsidR="00CD438E" w:rsidRDefault="00CD438E" w:rsidP="00CD438E">
      <w:pPr>
        <w:spacing w:after="120"/>
        <w:jc w:val="both"/>
        <w:rPr>
          <w:rFonts w:ascii="Arial" w:hAnsi="Arial" w:cs="Arial"/>
          <w:sz w:val="22"/>
          <w:szCs w:val="22"/>
        </w:rPr>
      </w:pPr>
    </w:p>
    <w:p w14:paraId="4EDB71A4" w14:textId="59A935E4" w:rsidR="00CD438E" w:rsidRDefault="00CD438E" w:rsidP="00CD438E">
      <w:pPr>
        <w:spacing w:after="120"/>
        <w:jc w:val="both"/>
        <w:rPr>
          <w:rFonts w:ascii="Arial" w:hAnsi="Arial" w:cs="Arial"/>
          <w:sz w:val="22"/>
          <w:szCs w:val="22"/>
        </w:rPr>
      </w:pPr>
    </w:p>
    <w:p w14:paraId="4B8553E7" w14:textId="77777777" w:rsidR="00CD438E" w:rsidRDefault="00CD438E" w:rsidP="00CD438E">
      <w:pPr>
        <w:spacing w:after="120"/>
        <w:jc w:val="both"/>
        <w:rPr>
          <w:rFonts w:ascii="Arial" w:hAnsi="Arial" w:cs="Arial"/>
          <w:sz w:val="22"/>
          <w:szCs w:val="22"/>
        </w:rPr>
      </w:pPr>
    </w:p>
    <w:p w14:paraId="53F6F25C" w14:textId="29D9C5CD" w:rsidR="009609F3" w:rsidRDefault="009609F3" w:rsidP="00CC7157">
      <w:pPr>
        <w:spacing w:after="120"/>
        <w:jc w:val="both"/>
        <w:rPr>
          <w:rFonts w:ascii="Arial" w:hAnsi="Arial" w:cs="Arial"/>
          <w:sz w:val="22"/>
          <w:szCs w:val="22"/>
        </w:rPr>
      </w:pPr>
    </w:p>
    <w:p w14:paraId="2286136E" w14:textId="6881468B" w:rsidR="009609F3" w:rsidRDefault="009609F3" w:rsidP="00CC7157">
      <w:pPr>
        <w:spacing w:after="120"/>
        <w:jc w:val="both"/>
        <w:rPr>
          <w:rFonts w:ascii="Arial" w:hAnsi="Arial" w:cs="Arial"/>
          <w:sz w:val="22"/>
          <w:szCs w:val="22"/>
        </w:rPr>
      </w:pPr>
    </w:p>
    <w:p w14:paraId="427C34E9" w14:textId="1EA7C5B4" w:rsidR="009609F3" w:rsidRDefault="009609F3" w:rsidP="00B85BE8">
      <w:pPr>
        <w:jc w:val="both"/>
        <w:rPr>
          <w:rFonts w:ascii="Arial" w:hAnsi="Arial" w:cs="Arial"/>
          <w:sz w:val="22"/>
          <w:szCs w:val="22"/>
        </w:rPr>
      </w:pPr>
    </w:p>
    <w:p w14:paraId="255855C5" w14:textId="17ACA9A1" w:rsidR="00B85BE8" w:rsidRDefault="00B85BE8" w:rsidP="00B85BE8">
      <w:pPr>
        <w:jc w:val="both"/>
        <w:rPr>
          <w:rFonts w:ascii="Arial" w:hAnsi="Arial" w:cs="Arial"/>
          <w:sz w:val="22"/>
          <w:szCs w:val="22"/>
        </w:rPr>
      </w:pPr>
    </w:p>
    <w:p w14:paraId="55F44447" w14:textId="77777777" w:rsidR="00B85BE8" w:rsidRPr="00CE7D0F" w:rsidRDefault="00B85BE8" w:rsidP="00CE7D0F">
      <w:pPr>
        <w:jc w:val="both"/>
        <w:rPr>
          <w:rFonts w:ascii="Arial" w:hAnsi="Arial" w:cs="Arial"/>
          <w:sz w:val="28"/>
          <w:szCs w:val="28"/>
        </w:rPr>
      </w:pPr>
    </w:p>
    <w:p w14:paraId="30B147E7" w14:textId="77777777" w:rsidR="00301A83" w:rsidRPr="00301A83" w:rsidRDefault="00D31CC0" w:rsidP="00CE7D0F">
      <w:pPr>
        <w:pStyle w:val="Didascalia"/>
        <w:spacing w:before="0" w:after="0"/>
        <w:rPr>
          <w:rFonts w:ascii="Arial Narrow" w:hAnsi="Arial Narrow" w:cs="Arial"/>
          <w:b w:val="0"/>
          <w:i/>
          <w:noProof/>
          <w:color w:val="1F497D"/>
          <w:sz w:val="22"/>
          <w:szCs w:val="22"/>
        </w:rPr>
      </w:pPr>
      <w:r>
        <w:rPr>
          <w:rFonts w:ascii="Arial Black" w:hAnsi="Arial Black" w:cs="Arial"/>
          <w:iCs/>
          <w:noProof/>
          <w:color w:val="1F497D" w:themeColor="text2"/>
          <w:sz w:val="22"/>
          <w:szCs w:val="22"/>
        </w:rPr>
        <w:t xml:space="preserve">FIGURA </w:t>
      </w:r>
      <w:r w:rsidR="002B47CC">
        <w:rPr>
          <w:rFonts w:ascii="Arial Black" w:hAnsi="Arial Black" w:cs="Arial"/>
          <w:iCs/>
          <w:noProof/>
          <w:color w:val="1F497D" w:themeColor="text2"/>
          <w:sz w:val="22"/>
          <w:szCs w:val="22"/>
        </w:rPr>
        <w:t>3</w:t>
      </w:r>
      <w:r w:rsidRPr="00301A83">
        <w:rPr>
          <w:rFonts w:ascii="Arial Black" w:hAnsi="Arial Black" w:cs="Arial"/>
          <w:iCs/>
          <w:noProof/>
          <w:color w:val="1F497D"/>
          <w:sz w:val="22"/>
          <w:szCs w:val="22"/>
        </w:rPr>
        <w:t>.</w:t>
      </w:r>
      <w:r w:rsidRPr="00301A83">
        <w:rPr>
          <w:rFonts w:ascii="Arial Narrow" w:hAnsi="Arial Narrow" w:cs="Arial"/>
          <w:iCs/>
          <w:noProof/>
          <w:color w:val="1F497D"/>
          <w:sz w:val="20"/>
        </w:rPr>
        <w:t xml:space="preserve"> </w:t>
      </w:r>
      <w:r w:rsidR="00301A83" w:rsidRPr="00301A83">
        <w:rPr>
          <w:rFonts w:ascii="Arial Narrow" w:hAnsi="Arial Narrow" w:cs="Arial"/>
          <w:noProof/>
          <w:color w:val="1F497D"/>
          <w:sz w:val="22"/>
          <w:szCs w:val="22"/>
        </w:rPr>
        <w:t xml:space="preserve">CONSUMO MATERIALE INTERNO DELL’ITALIA PER PROVENIENZA E TIPO DI MATERIALE </w:t>
      </w:r>
    </w:p>
    <w:p w14:paraId="1C203B31" w14:textId="3F951AED" w:rsidR="00301A83" w:rsidRDefault="00301A83" w:rsidP="00B85BE8">
      <w:pPr>
        <w:rPr>
          <w:rFonts w:ascii="Arial Narrow" w:hAnsi="Arial Narrow"/>
          <w:color w:val="1F497D" w:themeColor="text2"/>
        </w:rPr>
      </w:pPr>
      <w:r w:rsidRPr="00BF77E7">
        <w:rPr>
          <w:rFonts w:ascii="Arial Narrow" w:hAnsi="Arial Narrow"/>
          <w:color w:val="1F497D" w:themeColor="text2"/>
        </w:rPr>
        <w:t>Anni 1991, 2001, 2011, 2017 e 2018-2020, milioni di tonnellate</w:t>
      </w:r>
      <w:r w:rsidR="00857F93">
        <w:rPr>
          <w:rFonts w:ascii="Arial Narrow" w:hAnsi="Arial Narrow"/>
          <w:color w:val="1F497D" w:themeColor="text2"/>
        </w:rPr>
        <w:t xml:space="preserve"> </w:t>
      </w:r>
    </w:p>
    <w:p w14:paraId="216DF742" w14:textId="2189C12E" w:rsidR="00B85BE8" w:rsidRDefault="00B85BE8" w:rsidP="00B85BE8">
      <w:pPr>
        <w:rPr>
          <w:rFonts w:ascii="Arial Narrow" w:hAnsi="Arial Narrow"/>
          <w:color w:val="1F497D" w:themeColor="text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961"/>
      </w:tblGrid>
      <w:tr w:rsidR="005E5CA0" w14:paraId="45C37FAC" w14:textId="77777777" w:rsidTr="00CE7D0F">
        <w:tc>
          <w:tcPr>
            <w:tcW w:w="4963" w:type="dxa"/>
          </w:tcPr>
          <w:p w14:paraId="50B4B374" w14:textId="1492D6B8" w:rsidR="005E5CA0" w:rsidRDefault="00F20EDF" w:rsidP="00B85BE8">
            <w:pPr>
              <w:rPr>
                <w:rFonts w:ascii="Arial Narrow" w:hAnsi="Arial Narrow"/>
                <w:color w:val="1F497D" w:themeColor="text2"/>
              </w:rPr>
            </w:pPr>
            <w:r>
              <w:rPr>
                <w:rFonts w:ascii="Arial Narrow" w:hAnsi="Arial Narrow"/>
                <w:color w:val="1F497D" w:themeColor="text2"/>
              </w:rPr>
              <w:object w:dxaOrig="4891" w:dyaOrig="3286" w14:anchorId="60441FF8">
                <v:shape id="_x0000_i1039" type="#_x0000_t75" style="width:244.5pt;height:164.25pt" o:ole="">
                  <v:imagedata r:id="rId17" o:title=""/>
                </v:shape>
                <o:OLEObject Type="Link" ProgID="Excel.Sheet.12" ShapeID="_x0000_i1039" DrawAspect="Content" r:id="rId18" UpdateMode="Always">
                  <o:LinkType>EnhancedMetaFile</o:LinkType>
                  <o:LockedField>false</o:LockedField>
                </o:OLEObject>
              </w:object>
            </w:r>
          </w:p>
        </w:tc>
        <w:tc>
          <w:tcPr>
            <w:tcW w:w="4949" w:type="dxa"/>
          </w:tcPr>
          <w:p w14:paraId="3F55484D" w14:textId="54AA0FD4" w:rsidR="005E5CA0" w:rsidRDefault="00F20EDF" w:rsidP="00B85BE8">
            <w:pPr>
              <w:rPr>
                <w:rFonts w:ascii="Arial Narrow" w:hAnsi="Arial Narrow"/>
                <w:color w:val="1F497D" w:themeColor="text2"/>
              </w:rPr>
            </w:pPr>
            <w:r>
              <w:rPr>
                <w:rFonts w:ascii="Arial Narrow" w:hAnsi="Arial Narrow"/>
                <w:color w:val="1F497D" w:themeColor="text2"/>
              </w:rPr>
              <w:object w:dxaOrig="4891" w:dyaOrig="3406" w14:anchorId="654E6670">
                <v:shape id="_x0000_i1048" type="#_x0000_t75" style="width:244.5pt;height:170.25pt" o:ole="">
                  <v:imagedata r:id="rId19" o:title=""/>
                </v:shape>
                <o:OLEObject Type="Link" ProgID="Excel.Sheet.12" ShapeID="_x0000_i1048" DrawAspect="Content" r:id="rId20" UpdateMode="Always">
                  <o:LinkType>EnhancedMetaFile</o:LinkType>
                  <o:LockedField>false</o:LockedField>
                </o:OLEObject>
              </w:object>
            </w:r>
          </w:p>
        </w:tc>
        <w:bookmarkStart w:id="1" w:name="_GoBack"/>
        <w:bookmarkEnd w:id="1"/>
      </w:tr>
    </w:tbl>
    <w:p w14:paraId="4E2F6BE9" w14:textId="51D02F6C" w:rsidR="00B85BE8" w:rsidRDefault="00152D3E" w:rsidP="00CE7D0F">
      <w:pPr>
        <w:autoSpaceDE w:val="0"/>
        <w:autoSpaceDN w:val="0"/>
        <w:adjustRightInd w:val="0"/>
        <w:jc w:val="both"/>
        <w:rPr>
          <w:rFonts w:ascii="Arial" w:hAnsi="Arial" w:cs="Arial"/>
          <w:sz w:val="15"/>
          <w:szCs w:val="15"/>
        </w:rPr>
      </w:pPr>
      <w:r w:rsidRPr="00152D3E">
        <w:rPr>
          <w:rFonts w:ascii="Arial" w:hAnsi="Arial" w:cs="Arial"/>
          <w:sz w:val="15"/>
          <w:szCs w:val="15"/>
        </w:rPr>
        <w:t>Fonte: Istat, Conti ambientali - Conti dei flussi di materia a livello di intera economia</w:t>
      </w:r>
      <w:r w:rsidR="00B85BE8">
        <w:rPr>
          <w:rFonts w:ascii="Arial" w:hAnsi="Arial" w:cs="Arial"/>
          <w:sz w:val="15"/>
          <w:szCs w:val="15"/>
        </w:rPr>
        <w:br w:type="page"/>
      </w:r>
    </w:p>
    <w:p w14:paraId="353794FC" w14:textId="77777777" w:rsidR="00BC6870" w:rsidRDefault="00BC6870" w:rsidP="009D38BD">
      <w:pPr>
        <w:spacing w:after="120"/>
        <w:jc w:val="both"/>
        <w:outlineLvl w:val="0"/>
        <w:rPr>
          <w:rFonts w:ascii="Arial" w:hAnsi="Arial" w:cs="Arial"/>
          <w:sz w:val="22"/>
          <w:szCs w:val="22"/>
        </w:rPr>
      </w:pPr>
    </w:p>
    <w:p w14:paraId="5E9F1672" w14:textId="78AA7063" w:rsidR="00BC6870" w:rsidRDefault="009A10FC" w:rsidP="009D38BD">
      <w:pPr>
        <w:tabs>
          <w:tab w:val="left" w:pos="900"/>
        </w:tabs>
        <w:spacing w:after="120"/>
        <w:jc w:val="both"/>
        <w:rPr>
          <w:rFonts w:ascii="Arial" w:hAnsi="Arial" w:cs="Arial"/>
          <w:b/>
          <w:color w:val="1F497D" w:themeColor="text2"/>
          <w:sz w:val="26"/>
          <w:szCs w:val="26"/>
        </w:rPr>
      </w:pPr>
      <w:r>
        <w:rPr>
          <w:rFonts w:ascii="Arial" w:hAnsi="Arial" w:cs="Arial"/>
          <w:b/>
          <w:color w:val="1F497D" w:themeColor="text2"/>
          <w:sz w:val="26"/>
          <w:szCs w:val="26"/>
        </w:rPr>
        <w:t>Scende il gettito delle</w:t>
      </w:r>
      <w:r w:rsidR="00CD281C">
        <w:rPr>
          <w:rFonts w:ascii="Arial" w:hAnsi="Arial" w:cs="Arial"/>
          <w:b/>
          <w:color w:val="1F497D" w:themeColor="text2"/>
          <w:sz w:val="26"/>
          <w:szCs w:val="26"/>
        </w:rPr>
        <w:t xml:space="preserve"> imposte </w:t>
      </w:r>
      <w:r w:rsidR="00BC6870" w:rsidRPr="00BC6870">
        <w:rPr>
          <w:rFonts w:ascii="Arial" w:hAnsi="Arial" w:cs="Arial"/>
          <w:b/>
          <w:color w:val="1F497D" w:themeColor="text2"/>
          <w:sz w:val="26"/>
          <w:szCs w:val="26"/>
        </w:rPr>
        <w:t>ambientali su</w:t>
      </w:r>
      <w:r w:rsidR="00CD281C">
        <w:rPr>
          <w:rFonts w:ascii="Arial" w:hAnsi="Arial" w:cs="Arial"/>
          <w:b/>
          <w:color w:val="1F497D" w:themeColor="text2"/>
          <w:sz w:val="26"/>
          <w:szCs w:val="26"/>
        </w:rPr>
        <w:t xml:space="preserve"> </w:t>
      </w:r>
      <w:r w:rsidR="00BC6870" w:rsidRPr="00BC6870">
        <w:rPr>
          <w:rFonts w:ascii="Arial" w:hAnsi="Arial" w:cs="Arial"/>
          <w:b/>
          <w:color w:val="1F497D" w:themeColor="text2"/>
          <w:sz w:val="26"/>
          <w:szCs w:val="26"/>
        </w:rPr>
        <w:t>energia e</w:t>
      </w:r>
      <w:r w:rsidR="00CD281C">
        <w:rPr>
          <w:rFonts w:ascii="Arial" w:hAnsi="Arial" w:cs="Arial"/>
          <w:b/>
          <w:color w:val="1F497D" w:themeColor="text2"/>
          <w:sz w:val="26"/>
          <w:szCs w:val="26"/>
        </w:rPr>
        <w:t xml:space="preserve"> </w:t>
      </w:r>
      <w:r w:rsidR="00BC6870" w:rsidRPr="00BC6870">
        <w:rPr>
          <w:rFonts w:ascii="Arial" w:hAnsi="Arial" w:cs="Arial"/>
          <w:b/>
          <w:color w:val="1F497D" w:themeColor="text2"/>
          <w:sz w:val="26"/>
          <w:szCs w:val="26"/>
        </w:rPr>
        <w:t xml:space="preserve">trasporti </w:t>
      </w:r>
    </w:p>
    <w:p w14:paraId="43F4B7A0" w14:textId="6C8F821B" w:rsidR="00BC6870" w:rsidRPr="00CE7D0F" w:rsidRDefault="00BC6870" w:rsidP="00BC6870">
      <w:pPr>
        <w:pStyle w:val="Default"/>
        <w:spacing w:after="120"/>
        <w:jc w:val="both"/>
        <w:rPr>
          <w:rFonts w:ascii="Arial" w:hAnsi="Arial" w:cs="Arial"/>
          <w:color w:val="auto"/>
          <w:sz w:val="22"/>
          <w:szCs w:val="22"/>
        </w:rPr>
      </w:pPr>
      <w:r>
        <w:rPr>
          <w:rFonts w:ascii="Arial" w:hAnsi="Arial" w:cs="Arial"/>
          <w:color w:val="auto"/>
          <w:sz w:val="22"/>
          <w:szCs w:val="22"/>
        </w:rPr>
        <w:t xml:space="preserve">La generale riduzione delle transazioni economiche che ha caratterizzato il nostro Paese nel 2020 ha </w:t>
      </w:r>
      <w:r w:rsidRPr="00CE7D0F">
        <w:rPr>
          <w:rFonts w:ascii="Arial" w:hAnsi="Arial" w:cs="Arial"/>
          <w:color w:val="auto"/>
          <w:sz w:val="22"/>
          <w:szCs w:val="22"/>
        </w:rPr>
        <w:t>comportato anche una riduzione del gettito delle imposte pagate da imprese e famiglie.</w:t>
      </w:r>
      <w:r w:rsidR="00CD1710" w:rsidRPr="00CE7D0F">
        <w:rPr>
          <w:rFonts w:ascii="Arial" w:hAnsi="Arial" w:cs="Arial"/>
          <w:color w:val="auto"/>
          <w:sz w:val="22"/>
          <w:szCs w:val="22"/>
        </w:rPr>
        <w:t xml:space="preserve"> L</w:t>
      </w:r>
      <w:r w:rsidRPr="00CE7D0F">
        <w:rPr>
          <w:rFonts w:ascii="Arial" w:hAnsi="Arial" w:cs="Arial"/>
          <w:color w:val="auto"/>
          <w:sz w:val="22"/>
          <w:szCs w:val="22"/>
        </w:rPr>
        <w:t>e imposte ambientali</w:t>
      </w:r>
      <w:r w:rsidR="00CD1710" w:rsidRPr="00CE7D0F">
        <w:rPr>
          <w:rFonts w:ascii="Arial" w:hAnsi="Arial" w:cs="Arial"/>
          <w:color w:val="auto"/>
          <w:sz w:val="22"/>
          <w:szCs w:val="22"/>
        </w:rPr>
        <w:t>,</w:t>
      </w:r>
      <w:r w:rsidRPr="00CE7D0F">
        <w:rPr>
          <w:rFonts w:ascii="Arial" w:hAnsi="Arial" w:cs="Arial"/>
          <w:color w:val="auto"/>
          <w:sz w:val="22"/>
          <w:szCs w:val="22"/>
        </w:rPr>
        <w:t xml:space="preserve"> che ne rappresentano un sottoinsieme</w:t>
      </w:r>
      <w:r w:rsidR="00CD1710" w:rsidRPr="00CE7D0F">
        <w:rPr>
          <w:rFonts w:ascii="Arial" w:hAnsi="Arial" w:cs="Arial"/>
          <w:color w:val="auto"/>
          <w:sz w:val="22"/>
          <w:szCs w:val="22"/>
        </w:rPr>
        <w:t>,</w:t>
      </w:r>
      <w:r w:rsidRPr="00CE7D0F">
        <w:rPr>
          <w:rFonts w:ascii="Arial" w:hAnsi="Arial" w:cs="Arial"/>
          <w:color w:val="auto"/>
          <w:sz w:val="22"/>
          <w:szCs w:val="22"/>
        </w:rPr>
        <w:t xml:space="preserve"> ammontano nel 2020 a circa 50 miliardi di euro, con una contrazione di 7,8 miliardi rispetto al 2019 più pronunciata rispetto alla media delle imposte (-13,5% a fronte di -7,4%).</w:t>
      </w:r>
    </w:p>
    <w:p w14:paraId="1E353BB6" w14:textId="08875A77" w:rsidR="00BC6870" w:rsidRPr="00CE7D0F" w:rsidRDefault="00BC6870" w:rsidP="00BC6870">
      <w:pPr>
        <w:pStyle w:val="Default"/>
        <w:spacing w:after="120"/>
        <w:jc w:val="both"/>
        <w:rPr>
          <w:rFonts w:ascii="Arial" w:hAnsi="Arial" w:cs="Arial"/>
          <w:color w:val="auto"/>
          <w:sz w:val="22"/>
          <w:szCs w:val="22"/>
        </w:rPr>
      </w:pPr>
      <w:r w:rsidRPr="00CE7D0F">
        <w:rPr>
          <w:rFonts w:ascii="Arial" w:hAnsi="Arial" w:cs="Arial"/>
          <w:color w:val="auto"/>
          <w:sz w:val="22"/>
          <w:szCs w:val="22"/>
        </w:rPr>
        <w:t xml:space="preserve">Diminuiscono anche la quota delle imposte ambientali sul totale delle imposte e contributi sociali (da 7,7% nel 2019 a 7,1%) e l’incidenza sul Pil (da 3,2% a 3,0%), </w:t>
      </w:r>
      <w:r w:rsidR="00CD1710" w:rsidRPr="00CE7D0F">
        <w:rPr>
          <w:rFonts w:ascii="Arial" w:hAnsi="Arial" w:cs="Arial"/>
          <w:color w:val="auto"/>
          <w:sz w:val="22"/>
          <w:szCs w:val="22"/>
        </w:rPr>
        <w:t>come</w:t>
      </w:r>
      <w:r w:rsidRPr="00CE7D0F">
        <w:rPr>
          <w:rFonts w:ascii="Arial" w:hAnsi="Arial" w:cs="Arial"/>
          <w:color w:val="auto"/>
          <w:sz w:val="22"/>
          <w:szCs w:val="22"/>
        </w:rPr>
        <w:t xml:space="preserve"> effetto della contrazione</w:t>
      </w:r>
      <w:r w:rsidR="00CD281C" w:rsidRPr="00CE7D0F">
        <w:rPr>
          <w:rFonts w:ascii="Arial" w:hAnsi="Arial" w:cs="Arial"/>
          <w:color w:val="auto"/>
          <w:sz w:val="22"/>
          <w:szCs w:val="22"/>
        </w:rPr>
        <w:t xml:space="preserve"> più limitata</w:t>
      </w:r>
      <w:r w:rsidRPr="00CE7D0F">
        <w:rPr>
          <w:rFonts w:ascii="Arial" w:hAnsi="Arial" w:cs="Arial"/>
          <w:color w:val="auto"/>
          <w:sz w:val="22"/>
          <w:szCs w:val="22"/>
        </w:rPr>
        <w:t xml:space="preserve"> delle basi di confronto. Nel 2021 si osserva </w:t>
      </w:r>
      <w:r w:rsidR="00CD1710" w:rsidRPr="00CE7D0F">
        <w:rPr>
          <w:rFonts w:ascii="Arial" w:hAnsi="Arial" w:cs="Arial"/>
          <w:color w:val="auto"/>
          <w:sz w:val="22"/>
          <w:szCs w:val="22"/>
        </w:rPr>
        <w:t xml:space="preserve">invece </w:t>
      </w:r>
      <w:r w:rsidRPr="00CE7D0F">
        <w:rPr>
          <w:rFonts w:ascii="Arial" w:hAnsi="Arial" w:cs="Arial"/>
          <w:color w:val="auto"/>
          <w:sz w:val="22"/>
          <w:szCs w:val="22"/>
        </w:rPr>
        <w:t>una ripresa del gettito delle imposte ambientali</w:t>
      </w:r>
      <w:r w:rsidR="00CD281C" w:rsidRPr="00CE7D0F">
        <w:rPr>
          <w:rFonts w:ascii="Arial" w:hAnsi="Arial" w:cs="Arial"/>
          <w:color w:val="auto"/>
          <w:sz w:val="22"/>
          <w:szCs w:val="22"/>
        </w:rPr>
        <w:t>,</w:t>
      </w:r>
      <w:r w:rsidRPr="00CE7D0F">
        <w:rPr>
          <w:rFonts w:ascii="Arial" w:hAnsi="Arial" w:cs="Arial"/>
          <w:color w:val="auto"/>
          <w:sz w:val="22"/>
          <w:szCs w:val="22"/>
        </w:rPr>
        <w:t xml:space="preserve"> che superano i 53 miliardi di euro, accompagnata tuttavia dalla ulteriore riduzione del loro peso sul totale delle imposte e contributi sociali (6,9%).</w:t>
      </w:r>
    </w:p>
    <w:p w14:paraId="7B406CA3" w14:textId="6C352523" w:rsidR="00BC6870" w:rsidRPr="00CE7D0F" w:rsidRDefault="00BC6870" w:rsidP="00BC6870">
      <w:pPr>
        <w:pStyle w:val="Default"/>
        <w:spacing w:after="120"/>
        <w:jc w:val="both"/>
        <w:rPr>
          <w:rFonts w:ascii="Arial" w:hAnsi="Arial" w:cs="Arial"/>
          <w:color w:val="auto"/>
          <w:sz w:val="22"/>
          <w:szCs w:val="22"/>
        </w:rPr>
      </w:pPr>
      <w:r w:rsidRPr="00CE7D0F">
        <w:rPr>
          <w:rFonts w:ascii="Arial" w:hAnsi="Arial" w:cs="Arial"/>
          <w:color w:val="auto"/>
          <w:sz w:val="22"/>
          <w:szCs w:val="22"/>
        </w:rPr>
        <w:t xml:space="preserve">Quasi il 55% della riduzione complessiva del gettito delle imposte ambientali nel 2020 rispetto all’anno precedente è dovuta al minor esborso da parte delle famiglie residenti, pari a 4,2 miliardi di euro. Con 27,6 miliardi di euro pagati per le imposte ambientali, le famiglie si confermano il soggetto economico che contribuisce maggiormente al gettito complessivo (54,9% nel 2020, quota pressoché stabile rispetto al 2019). Le attività produttive </w:t>
      </w:r>
      <w:r w:rsidR="006F1DF9" w:rsidRPr="00CE7D0F">
        <w:rPr>
          <w:rFonts w:ascii="Arial" w:hAnsi="Arial" w:cs="Arial"/>
          <w:color w:val="auto"/>
          <w:sz w:val="22"/>
          <w:szCs w:val="22"/>
        </w:rPr>
        <w:t xml:space="preserve">corrispondono nel 2020 circa 22 miliardi euro (43,7% del gettito, quota in lieve aumento rispetto al 43,1% del 2019) con </w:t>
      </w:r>
      <w:r w:rsidRPr="00CE7D0F">
        <w:rPr>
          <w:rFonts w:ascii="Arial" w:hAnsi="Arial" w:cs="Arial"/>
          <w:color w:val="auto"/>
          <w:sz w:val="22"/>
          <w:szCs w:val="22"/>
        </w:rPr>
        <w:t>una riduzione di circa 3 miliardi.</w:t>
      </w:r>
    </w:p>
    <w:p w14:paraId="4BBFF522" w14:textId="33901820" w:rsidR="005303E0" w:rsidRDefault="00BC6870" w:rsidP="00BC6870">
      <w:pPr>
        <w:pStyle w:val="Default"/>
        <w:spacing w:after="120"/>
        <w:jc w:val="both"/>
        <w:rPr>
          <w:rFonts w:ascii="Arial" w:hAnsi="Arial" w:cs="Arial"/>
          <w:color w:val="auto"/>
          <w:sz w:val="22"/>
          <w:szCs w:val="22"/>
        </w:rPr>
      </w:pPr>
      <w:r w:rsidRPr="00CE7D0F">
        <w:rPr>
          <w:rFonts w:ascii="Arial" w:hAnsi="Arial" w:cs="Arial"/>
          <w:color w:val="auto"/>
          <w:sz w:val="22"/>
          <w:szCs w:val="22"/>
        </w:rPr>
        <w:t>Per le famiglie, la riduzione del gettito pagato nel 2020 riguarda</w:t>
      </w:r>
      <w:r w:rsidR="00CD281C" w:rsidRPr="00CE7D0F">
        <w:rPr>
          <w:rFonts w:ascii="Arial" w:hAnsi="Arial" w:cs="Arial"/>
          <w:color w:val="auto"/>
          <w:sz w:val="22"/>
          <w:szCs w:val="22"/>
        </w:rPr>
        <w:t xml:space="preserve"> per il 70%</w:t>
      </w:r>
      <w:r w:rsidRPr="00CE7D0F">
        <w:rPr>
          <w:rFonts w:ascii="Arial" w:hAnsi="Arial" w:cs="Arial"/>
          <w:color w:val="auto"/>
          <w:sz w:val="22"/>
          <w:szCs w:val="22"/>
        </w:rPr>
        <w:t xml:space="preserve"> le imposte sugli oli minerali</w:t>
      </w:r>
      <w:r>
        <w:rPr>
          <w:rFonts w:ascii="Arial" w:hAnsi="Arial" w:cs="Arial"/>
          <w:color w:val="auto"/>
          <w:sz w:val="22"/>
          <w:szCs w:val="22"/>
        </w:rPr>
        <w:t xml:space="preserve"> (</w:t>
      </w:r>
      <w:r w:rsidR="003D4932">
        <w:rPr>
          <w:rFonts w:ascii="Arial" w:hAnsi="Arial" w:cs="Arial"/>
          <w:color w:val="auto"/>
          <w:sz w:val="22"/>
          <w:szCs w:val="22"/>
        </w:rPr>
        <w:t>-</w:t>
      </w:r>
      <w:r>
        <w:rPr>
          <w:rFonts w:ascii="Arial" w:hAnsi="Arial" w:cs="Arial"/>
          <w:color w:val="auto"/>
          <w:sz w:val="22"/>
          <w:szCs w:val="22"/>
        </w:rPr>
        <w:t xml:space="preserve">3 miliardi circa), soprattutto </w:t>
      </w:r>
      <w:r w:rsidR="005303E0">
        <w:rPr>
          <w:rFonts w:ascii="Arial" w:hAnsi="Arial" w:cs="Arial"/>
          <w:color w:val="auto"/>
          <w:sz w:val="22"/>
          <w:szCs w:val="22"/>
        </w:rPr>
        <w:t>a causa della</w:t>
      </w:r>
      <w:r>
        <w:rPr>
          <w:rFonts w:ascii="Arial" w:hAnsi="Arial" w:cs="Arial"/>
          <w:color w:val="auto"/>
          <w:sz w:val="22"/>
          <w:szCs w:val="22"/>
        </w:rPr>
        <w:t xml:space="preserve"> contrazione del consumo di carburanti per il trasporto legata alle restrizioni alla circolazione e alle altre misure adottate nel corso della pandemia. </w:t>
      </w:r>
    </w:p>
    <w:p w14:paraId="719499E7" w14:textId="13D3B54C" w:rsidR="00BC6870" w:rsidRDefault="00BC6870" w:rsidP="00BC6870">
      <w:pPr>
        <w:pStyle w:val="Default"/>
        <w:spacing w:after="120"/>
        <w:jc w:val="both"/>
        <w:rPr>
          <w:rFonts w:ascii="Arial" w:hAnsi="Arial" w:cs="Arial"/>
          <w:color w:val="auto"/>
          <w:sz w:val="22"/>
          <w:szCs w:val="22"/>
        </w:rPr>
      </w:pPr>
      <w:r>
        <w:rPr>
          <w:rFonts w:ascii="Arial" w:hAnsi="Arial" w:cs="Arial"/>
          <w:color w:val="auto"/>
          <w:sz w:val="22"/>
          <w:szCs w:val="22"/>
        </w:rPr>
        <w:t xml:space="preserve">Anche per le </w:t>
      </w:r>
      <w:r w:rsidRPr="006E4B33">
        <w:rPr>
          <w:rFonts w:ascii="Arial" w:hAnsi="Arial" w:cs="Arial"/>
          <w:color w:val="auto"/>
          <w:sz w:val="22"/>
          <w:szCs w:val="22"/>
        </w:rPr>
        <w:t>attività economiche la riduzione complessiva del gettito dipende dal</w:t>
      </w:r>
      <w:r>
        <w:rPr>
          <w:rFonts w:ascii="Arial" w:hAnsi="Arial" w:cs="Arial"/>
          <w:color w:val="auto"/>
          <w:sz w:val="22"/>
          <w:szCs w:val="22"/>
        </w:rPr>
        <w:t xml:space="preserve">le imposte sugli oli minerali (-1 miliardo circa, pari al </w:t>
      </w:r>
      <w:r w:rsidRPr="006E4B33">
        <w:rPr>
          <w:rFonts w:ascii="Arial" w:hAnsi="Arial" w:cs="Arial"/>
          <w:color w:val="auto"/>
          <w:sz w:val="22"/>
          <w:szCs w:val="22"/>
        </w:rPr>
        <w:t>33,2</w:t>
      </w:r>
      <w:r>
        <w:rPr>
          <w:rFonts w:ascii="Arial" w:hAnsi="Arial" w:cs="Arial"/>
          <w:color w:val="auto"/>
          <w:sz w:val="22"/>
          <w:szCs w:val="22"/>
        </w:rPr>
        <w:t>%</w:t>
      </w:r>
      <w:r w:rsidRPr="006E4B33">
        <w:rPr>
          <w:rFonts w:ascii="Arial" w:hAnsi="Arial" w:cs="Arial"/>
          <w:color w:val="auto"/>
          <w:sz w:val="22"/>
          <w:szCs w:val="22"/>
        </w:rPr>
        <w:t xml:space="preserve"> del</w:t>
      </w:r>
      <w:r>
        <w:rPr>
          <w:rFonts w:ascii="Arial" w:hAnsi="Arial" w:cs="Arial"/>
          <w:color w:val="auto"/>
          <w:sz w:val="22"/>
          <w:szCs w:val="22"/>
        </w:rPr>
        <w:t>la riduzione</w:t>
      </w:r>
      <w:r w:rsidRPr="006E4B33">
        <w:rPr>
          <w:rFonts w:ascii="Arial" w:hAnsi="Arial" w:cs="Arial"/>
          <w:color w:val="auto"/>
          <w:sz w:val="22"/>
          <w:szCs w:val="22"/>
        </w:rPr>
        <w:t xml:space="preserve"> totale) nonché, in misura ancora maggiore, da quelle per l’utilizzo dell’energia elettrica (</w:t>
      </w:r>
      <w:r>
        <w:rPr>
          <w:rFonts w:ascii="Arial" w:hAnsi="Arial" w:cs="Arial"/>
          <w:color w:val="auto"/>
          <w:sz w:val="22"/>
          <w:szCs w:val="22"/>
        </w:rPr>
        <w:t>-1,4 miliardi, pari al 46% del totale</w:t>
      </w:r>
      <w:r w:rsidRPr="006E4B33">
        <w:rPr>
          <w:rFonts w:ascii="Arial" w:hAnsi="Arial" w:cs="Arial"/>
          <w:color w:val="auto"/>
          <w:sz w:val="22"/>
          <w:szCs w:val="22"/>
        </w:rPr>
        <w:t xml:space="preserve">). </w:t>
      </w:r>
      <w:r>
        <w:rPr>
          <w:rFonts w:ascii="Arial" w:hAnsi="Arial" w:cs="Arial"/>
          <w:color w:val="auto"/>
          <w:sz w:val="22"/>
          <w:szCs w:val="22"/>
        </w:rPr>
        <w:t xml:space="preserve">In quest’ultimo caso, la riduzione è legata sia alla contrazione degli impieghi nel contesto del blocco, totale o parziale, dei processi produttivi durante la crisi sanitaria, sia alla riduzione nel corso dell’anno degli </w:t>
      </w:r>
      <w:r w:rsidRPr="008222FB">
        <w:rPr>
          <w:rFonts w:ascii="Arial" w:hAnsi="Arial" w:cs="Arial"/>
          <w:color w:val="auto"/>
          <w:sz w:val="22"/>
          <w:szCs w:val="22"/>
        </w:rPr>
        <w:t>oneri di sistema per il sostegno</w:t>
      </w:r>
      <w:r>
        <w:rPr>
          <w:rFonts w:ascii="Arial" w:hAnsi="Arial" w:cs="Arial"/>
          <w:color w:val="auto"/>
          <w:sz w:val="22"/>
          <w:szCs w:val="22"/>
        </w:rPr>
        <w:t xml:space="preserve"> </w:t>
      </w:r>
      <w:r w:rsidRPr="008222FB">
        <w:rPr>
          <w:rFonts w:ascii="Arial" w:hAnsi="Arial" w:cs="Arial"/>
          <w:color w:val="auto"/>
          <w:sz w:val="22"/>
          <w:szCs w:val="22"/>
        </w:rPr>
        <w:t>alle fonti rinnovabili</w:t>
      </w:r>
      <w:r>
        <w:rPr>
          <w:rFonts w:ascii="Arial" w:hAnsi="Arial" w:cs="Arial"/>
          <w:color w:val="auto"/>
          <w:sz w:val="22"/>
          <w:szCs w:val="22"/>
        </w:rPr>
        <w:t xml:space="preserve">. I macro-settori </w:t>
      </w:r>
      <w:r w:rsidR="00D90A0F">
        <w:rPr>
          <w:rFonts w:ascii="Arial" w:hAnsi="Arial" w:cs="Arial"/>
          <w:color w:val="auto"/>
          <w:sz w:val="22"/>
          <w:szCs w:val="22"/>
        </w:rPr>
        <w:t xml:space="preserve">più </w:t>
      </w:r>
      <w:r>
        <w:rPr>
          <w:rFonts w:ascii="Arial" w:hAnsi="Arial" w:cs="Arial"/>
          <w:color w:val="auto"/>
          <w:sz w:val="22"/>
          <w:szCs w:val="22"/>
        </w:rPr>
        <w:t>interessati dalla riduzione del gettito sono le Costruzioni, i Servizi, i Trasporti e il Commercio.</w:t>
      </w:r>
    </w:p>
    <w:p w14:paraId="6CE13A50" w14:textId="7642E727" w:rsidR="00BC6870" w:rsidRDefault="00BC6870" w:rsidP="00BC6870">
      <w:pPr>
        <w:pStyle w:val="Default"/>
        <w:spacing w:after="120"/>
        <w:jc w:val="both"/>
        <w:rPr>
          <w:rFonts w:ascii="Arial" w:hAnsi="Arial" w:cs="Arial"/>
          <w:color w:val="auto"/>
          <w:sz w:val="22"/>
          <w:szCs w:val="22"/>
        </w:rPr>
      </w:pPr>
      <w:r>
        <w:rPr>
          <w:rFonts w:ascii="Arial" w:hAnsi="Arial" w:cs="Arial"/>
          <w:color w:val="auto"/>
          <w:sz w:val="22"/>
          <w:szCs w:val="22"/>
        </w:rPr>
        <w:t xml:space="preserve">È direttamente riconducibile alle restrizioni alla circolazione interna e internazionale anche la riduzione del gettito corrisposto </w:t>
      </w:r>
      <w:r w:rsidRPr="0041495E">
        <w:rPr>
          <w:rFonts w:ascii="Arial" w:hAnsi="Arial" w:cs="Arial"/>
          <w:color w:val="auto"/>
          <w:sz w:val="22"/>
          <w:szCs w:val="22"/>
        </w:rPr>
        <w:t xml:space="preserve">da </w:t>
      </w:r>
      <w:r>
        <w:rPr>
          <w:rFonts w:ascii="Arial" w:hAnsi="Arial" w:cs="Arial"/>
          <w:color w:val="auto"/>
          <w:sz w:val="22"/>
          <w:szCs w:val="22"/>
        </w:rPr>
        <w:t>stranieri</w:t>
      </w:r>
      <w:r w:rsidRPr="0041495E">
        <w:rPr>
          <w:rFonts w:ascii="Arial" w:hAnsi="Arial" w:cs="Arial"/>
          <w:color w:val="auto"/>
          <w:sz w:val="22"/>
          <w:szCs w:val="22"/>
        </w:rPr>
        <w:t xml:space="preserve"> e imprese </w:t>
      </w:r>
      <w:r w:rsidR="000D57A2">
        <w:rPr>
          <w:rFonts w:ascii="Arial" w:hAnsi="Arial" w:cs="Arial"/>
          <w:color w:val="auto"/>
          <w:sz w:val="22"/>
          <w:szCs w:val="22"/>
        </w:rPr>
        <w:t xml:space="preserve">estere </w:t>
      </w:r>
      <w:r w:rsidRPr="0041495E">
        <w:rPr>
          <w:rFonts w:ascii="Arial" w:hAnsi="Arial" w:cs="Arial"/>
          <w:color w:val="auto"/>
          <w:sz w:val="22"/>
          <w:szCs w:val="22"/>
        </w:rPr>
        <w:t>di trasporto</w:t>
      </w:r>
      <w:r>
        <w:rPr>
          <w:rFonts w:ascii="Arial" w:hAnsi="Arial" w:cs="Arial"/>
          <w:color w:val="auto"/>
          <w:sz w:val="22"/>
          <w:szCs w:val="22"/>
        </w:rPr>
        <w:t xml:space="preserve"> operanti in Italia (unità non residenti), per </w:t>
      </w:r>
      <w:r w:rsidRPr="001A24BC">
        <w:rPr>
          <w:rFonts w:ascii="Arial" w:hAnsi="Arial" w:cs="Arial"/>
          <w:color w:val="auto"/>
          <w:sz w:val="22"/>
          <w:szCs w:val="22"/>
        </w:rPr>
        <w:t>l’acquisto di carburanti</w:t>
      </w:r>
      <w:r>
        <w:rPr>
          <w:rFonts w:ascii="Arial" w:hAnsi="Arial" w:cs="Arial"/>
          <w:color w:val="auto"/>
          <w:sz w:val="22"/>
          <w:szCs w:val="22"/>
        </w:rPr>
        <w:t xml:space="preserve"> (imposta sugli oli minerali -38,2%) e l’esercizio del trasporto aereo (imposta sulle emissioni sonore degli aeromobili -21,6%).</w:t>
      </w:r>
    </w:p>
    <w:p w14:paraId="138A40AF" w14:textId="00CB20D2" w:rsidR="005F5275" w:rsidRDefault="005F5275" w:rsidP="0021453D">
      <w:pPr>
        <w:shd w:val="clear" w:color="auto" w:fill="FDFDFC"/>
        <w:spacing w:after="120"/>
        <w:jc w:val="both"/>
        <w:rPr>
          <w:rFonts w:ascii="Arial" w:hAnsi="Arial" w:cs="Arial"/>
          <w:color w:val="000000"/>
        </w:rPr>
      </w:pPr>
    </w:p>
    <w:p w14:paraId="3BEBB55A" w14:textId="26DE8886" w:rsidR="00C7217A" w:rsidRDefault="00C7217A" w:rsidP="0021453D">
      <w:pPr>
        <w:shd w:val="clear" w:color="auto" w:fill="FDFDFC"/>
        <w:spacing w:after="120"/>
        <w:jc w:val="both"/>
        <w:rPr>
          <w:rFonts w:ascii="Arial" w:hAnsi="Arial" w:cs="Arial"/>
          <w:color w:val="000000"/>
        </w:rPr>
      </w:pPr>
    </w:p>
    <w:p w14:paraId="42285060" w14:textId="0B9BC963" w:rsidR="0021453D" w:rsidRPr="0021453D" w:rsidRDefault="0021453D" w:rsidP="0021453D">
      <w:pPr>
        <w:shd w:val="clear" w:color="auto" w:fill="FDFDFC"/>
        <w:spacing w:after="120"/>
        <w:jc w:val="both"/>
        <w:rPr>
          <w:rFonts w:ascii="Arial" w:hAnsi="Arial" w:cs="Arial"/>
          <w:color w:val="000000"/>
          <w:sz w:val="44"/>
        </w:rPr>
      </w:pPr>
    </w:p>
    <w:p w14:paraId="38AD538F" w14:textId="77777777" w:rsidR="00BC6870" w:rsidRDefault="008A4099" w:rsidP="00BC6870">
      <w:pPr>
        <w:rPr>
          <w:rFonts w:ascii="Arial Narrow" w:hAnsi="Arial Narrow"/>
          <w:b/>
          <w:iCs/>
          <w:caps/>
          <w:noProof/>
          <w:color w:val="1F497D" w:themeColor="text2"/>
        </w:rPr>
      </w:pPr>
      <w:r w:rsidRPr="005B110A">
        <w:rPr>
          <w:rFonts w:ascii="Arial Black" w:hAnsi="Arial Black" w:cs="Arial"/>
          <w:iCs/>
          <w:noProof/>
          <w:color w:val="1F497D" w:themeColor="text2"/>
          <w:sz w:val="22"/>
          <w:szCs w:val="22"/>
        </w:rPr>
        <w:t xml:space="preserve">FIGURA </w:t>
      </w:r>
      <w:r w:rsidR="002B47CC">
        <w:rPr>
          <w:rFonts w:ascii="Arial Black" w:hAnsi="Arial Black" w:cs="Arial"/>
          <w:iCs/>
          <w:noProof/>
          <w:color w:val="1F497D" w:themeColor="text2"/>
          <w:sz w:val="22"/>
          <w:szCs w:val="22"/>
        </w:rPr>
        <w:t>4</w:t>
      </w:r>
      <w:r w:rsidRPr="004460C0">
        <w:rPr>
          <w:rFonts w:ascii="Arial Narrow" w:hAnsi="Arial Narrow" w:cs="Arial"/>
          <w:b/>
          <w:iCs/>
          <w:noProof/>
          <w:color w:val="1F497D" w:themeColor="text2"/>
          <w:sz w:val="22"/>
          <w:szCs w:val="22"/>
        </w:rPr>
        <w:t xml:space="preserve">. </w:t>
      </w:r>
      <w:r w:rsidR="00BC6870" w:rsidRPr="004D7DEF">
        <w:rPr>
          <w:rFonts w:ascii="Arial Narrow" w:hAnsi="Arial Narrow"/>
          <w:b/>
          <w:iCs/>
          <w:caps/>
          <w:noProof/>
          <w:color w:val="1F497D" w:themeColor="text2"/>
        </w:rPr>
        <w:t>Gettito delle imposte ambientali per categoria e unità pagante</w:t>
      </w:r>
    </w:p>
    <w:p w14:paraId="6C6B54A3" w14:textId="5BD6C98D" w:rsidR="00BC6870" w:rsidRDefault="00BC6870" w:rsidP="00BC6870">
      <w:pPr>
        <w:pStyle w:val="Paragrafoelenco"/>
        <w:ind w:left="0"/>
        <w:contextualSpacing w:val="0"/>
        <w:rPr>
          <w:rFonts w:ascii="Arial Narrow" w:hAnsi="Arial Narrow"/>
          <w:iCs/>
          <w:noProof/>
          <w:color w:val="1F497D" w:themeColor="text2"/>
        </w:rPr>
      </w:pPr>
      <w:r w:rsidRPr="004D7DEF">
        <w:rPr>
          <w:rFonts w:ascii="Arial Narrow" w:hAnsi="Arial Narrow"/>
          <w:iCs/>
          <w:noProof/>
          <w:color w:val="1F497D" w:themeColor="text2"/>
        </w:rPr>
        <w:t>Anni 2019-2020</w:t>
      </w:r>
      <w:r>
        <w:rPr>
          <w:rFonts w:ascii="Arial Narrow" w:hAnsi="Arial Narrow"/>
          <w:iCs/>
          <w:noProof/>
          <w:color w:val="1F497D" w:themeColor="text2"/>
        </w:rPr>
        <w:t>,</w:t>
      </w:r>
      <w:r w:rsidRPr="004D7DEF">
        <w:rPr>
          <w:rFonts w:ascii="Arial Narrow" w:hAnsi="Arial Narrow"/>
          <w:iCs/>
          <w:noProof/>
          <w:color w:val="1F497D" w:themeColor="text2"/>
        </w:rPr>
        <w:t xml:space="preserve"> miliardi di euro</w:t>
      </w:r>
    </w:p>
    <w:p w14:paraId="59FF1D5B" w14:textId="40DD8EE1" w:rsidR="00945D7A" w:rsidRPr="006F1DF9" w:rsidRDefault="00945D7A" w:rsidP="00BC6870">
      <w:pPr>
        <w:pStyle w:val="Paragrafoelenco"/>
        <w:ind w:left="0"/>
        <w:contextualSpacing w:val="0"/>
        <w:rPr>
          <w:rFonts w:ascii="Arial Narrow" w:hAnsi="Arial Narrow"/>
          <w:iCs/>
          <w:noProof/>
          <w:color w:val="1F497D" w:themeColor="text2"/>
          <w:sz w:val="22"/>
          <w:szCs w:val="22"/>
        </w:rPr>
      </w:pPr>
    </w:p>
    <w:p w14:paraId="0EBF2BA0" w14:textId="6960A4AE" w:rsidR="00945D7A" w:rsidRDefault="00945D7A" w:rsidP="00BC6870">
      <w:pPr>
        <w:pStyle w:val="Paragrafoelenco"/>
        <w:ind w:left="0"/>
        <w:contextualSpacing w:val="0"/>
        <w:rPr>
          <w:rFonts w:ascii="Arial Narrow" w:hAnsi="Arial Narrow"/>
          <w:iCs/>
          <w:noProof/>
          <w:color w:val="1F497D" w:themeColor="text2"/>
        </w:rPr>
      </w:pPr>
      <w:r>
        <w:rPr>
          <w:noProof/>
        </w:rPr>
        <w:drawing>
          <wp:inline distT="0" distB="0" distL="0" distR="0" wp14:anchorId="3B9A8D90" wp14:editId="00614C94">
            <wp:extent cx="6300000" cy="2160000"/>
            <wp:effectExtent l="0" t="0" r="0" b="0"/>
            <wp:docPr id="9" name="Grafico 9">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C7B8297" w14:textId="012A347A" w:rsidR="00EE1D2E" w:rsidRPr="007B07F1" w:rsidRDefault="00945D7A" w:rsidP="00BC6870">
      <w:pPr>
        <w:autoSpaceDE w:val="0"/>
        <w:autoSpaceDN w:val="0"/>
        <w:adjustRightInd w:val="0"/>
        <w:spacing w:before="40"/>
        <w:jc w:val="both"/>
        <w:rPr>
          <w:rFonts w:ascii="Arial" w:hAnsi="Arial" w:cs="Arial"/>
          <w:iCs/>
          <w:noProof/>
          <w:color w:val="1F497D" w:themeColor="text2"/>
          <w:sz w:val="22"/>
          <w:szCs w:val="22"/>
        </w:rPr>
      </w:pPr>
      <w:r w:rsidRPr="00BC6870">
        <w:rPr>
          <w:rFonts w:ascii="Arial" w:hAnsi="Arial" w:cs="Arial"/>
          <w:sz w:val="15"/>
          <w:szCs w:val="15"/>
        </w:rPr>
        <w:t xml:space="preserve">Fonte: Istat, Conti ambientali - Imposte ambientali per attività economica </w:t>
      </w:r>
    </w:p>
    <w:p w14:paraId="0E0CACEA" w14:textId="4FC2D9CC" w:rsidR="00452C35" w:rsidRDefault="00452C35" w:rsidP="007B07F1">
      <w:pPr>
        <w:spacing w:after="120"/>
        <w:jc w:val="both"/>
        <w:outlineLvl w:val="0"/>
        <w:rPr>
          <w:rFonts w:ascii="Arial" w:hAnsi="Arial" w:cs="Arial"/>
          <w:sz w:val="15"/>
          <w:szCs w:val="15"/>
        </w:rPr>
      </w:pPr>
      <w:r>
        <w:rPr>
          <w:rFonts w:ascii="Arial" w:hAnsi="Arial" w:cs="Arial"/>
          <w:sz w:val="15"/>
          <w:szCs w:val="15"/>
        </w:rPr>
        <w:br w:type="page"/>
      </w:r>
    </w:p>
    <w:p w14:paraId="645E83FB" w14:textId="77777777" w:rsidR="00707840" w:rsidRPr="00A45981" w:rsidRDefault="00707840" w:rsidP="00D90A0F">
      <w:pPr>
        <w:spacing w:after="120"/>
        <w:rPr>
          <w:rFonts w:ascii="Arial" w:hAnsi="Arial" w:cs="Arial"/>
          <w:color w:val="1F497D" w:themeColor="text2"/>
          <w:sz w:val="22"/>
          <w:szCs w:val="22"/>
        </w:rPr>
      </w:pPr>
    </w:p>
    <w:p w14:paraId="37F2752E" w14:textId="69F5D8E7" w:rsidR="00194403" w:rsidRDefault="00194403" w:rsidP="00D90A0F">
      <w:pPr>
        <w:spacing w:after="120"/>
        <w:jc w:val="both"/>
        <w:rPr>
          <w:rFonts w:ascii="Arial" w:hAnsi="Arial" w:cs="Arial"/>
          <w:b/>
          <w:color w:val="1F497D" w:themeColor="text2"/>
          <w:sz w:val="26"/>
          <w:szCs w:val="26"/>
        </w:rPr>
      </w:pPr>
      <w:r>
        <w:rPr>
          <w:rFonts w:ascii="Arial" w:hAnsi="Arial" w:cs="Arial"/>
          <w:b/>
          <w:color w:val="1F497D" w:themeColor="text2"/>
          <w:sz w:val="26"/>
          <w:szCs w:val="26"/>
        </w:rPr>
        <w:t>Anche nelle ecoindustrie calo della p</w:t>
      </w:r>
      <w:r w:rsidR="00DB55D0" w:rsidRPr="00DB55D0">
        <w:rPr>
          <w:rFonts w:ascii="Arial" w:hAnsi="Arial" w:cs="Arial"/>
          <w:b/>
          <w:color w:val="1F497D" w:themeColor="text2"/>
          <w:sz w:val="26"/>
          <w:szCs w:val="26"/>
        </w:rPr>
        <w:t>roduzione</w:t>
      </w:r>
    </w:p>
    <w:p w14:paraId="160AE346" w14:textId="05991F0F" w:rsidR="00DB55D0" w:rsidRPr="00DB55D0" w:rsidRDefault="00DB55D0" w:rsidP="00032672">
      <w:pPr>
        <w:spacing w:after="120"/>
        <w:jc w:val="both"/>
        <w:rPr>
          <w:rFonts w:ascii="Arial" w:hAnsi="Arial" w:cs="Arial"/>
          <w:color w:val="000000"/>
          <w:sz w:val="22"/>
          <w:szCs w:val="22"/>
        </w:rPr>
      </w:pPr>
      <w:r w:rsidRPr="00DB55D0">
        <w:rPr>
          <w:rFonts w:ascii="Arial" w:hAnsi="Arial" w:cs="Arial"/>
          <w:color w:val="000000"/>
          <w:sz w:val="22"/>
          <w:szCs w:val="22"/>
        </w:rPr>
        <w:t xml:space="preserve">Nel 2020 la produzione ai prezzi base di beni e servizi ambientali (ecoindustrie) si è attestata a 104 miliardi di euro (a prezzi correnti) e il valore aggiunto a 40,9 miliardi di euro, con una flessione rispettivamente </w:t>
      </w:r>
      <w:r w:rsidR="00032672" w:rsidRPr="00CE7D0F">
        <w:rPr>
          <w:rFonts w:ascii="Arial" w:hAnsi="Arial" w:cs="Arial"/>
          <w:color w:val="000000"/>
          <w:sz w:val="22"/>
          <w:szCs w:val="22"/>
        </w:rPr>
        <w:t xml:space="preserve">del 3,8% e del 3,0% </w:t>
      </w:r>
      <w:r w:rsidR="000D57A2" w:rsidRPr="00CE7D0F">
        <w:rPr>
          <w:rFonts w:ascii="Arial" w:hAnsi="Arial" w:cs="Arial"/>
          <w:color w:val="000000"/>
          <w:sz w:val="22"/>
          <w:szCs w:val="22"/>
        </w:rPr>
        <w:t>su</w:t>
      </w:r>
      <w:r w:rsidRPr="00CE7D0F">
        <w:rPr>
          <w:rFonts w:ascii="Arial" w:hAnsi="Arial" w:cs="Arial"/>
          <w:color w:val="000000"/>
          <w:sz w:val="22"/>
          <w:szCs w:val="22"/>
        </w:rPr>
        <w:t>ll’anno</w:t>
      </w:r>
      <w:r w:rsidRPr="00DB55D0">
        <w:rPr>
          <w:rFonts w:ascii="Arial" w:hAnsi="Arial" w:cs="Arial"/>
          <w:color w:val="000000"/>
          <w:sz w:val="22"/>
          <w:szCs w:val="22"/>
        </w:rPr>
        <w:t xml:space="preserve"> precedente. La contrazione del valore aggiunto del comparto è risultata minore rispetto a quella del Pil (-7,6% in valori correnti), consentendo di registrare una leggera crescita dell’incidenza sul P</w:t>
      </w:r>
      <w:r w:rsidR="00FB262A">
        <w:rPr>
          <w:rFonts w:ascii="Arial" w:hAnsi="Arial" w:cs="Arial"/>
          <w:color w:val="000000"/>
          <w:sz w:val="22"/>
          <w:szCs w:val="22"/>
        </w:rPr>
        <w:t>rodotto interno lordo</w:t>
      </w:r>
      <w:r w:rsidRPr="00DB55D0">
        <w:rPr>
          <w:rFonts w:ascii="Arial" w:hAnsi="Arial" w:cs="Arial"/>
          <w:color w:val="000000"/>
          <w:sz w:val="22"/>
          <w:szCs w:val="22"/>
        </w:rPr>
        <w:t>, passata dal 2,3% del 2019 al 2,5% nel 2020.</w:t>
      </w:r>
    </w:p>
    <w:p w14:paraId="3ABDBC70" w14:textId="6EC1535E" w:rsidR="00DB55D0" w:rsidRPr="00DB55D0" w:rsidRDefault="00DB55D0" w:rsidP="00AA05F6">
      <w:pPr>
        <w:spacing w:after="120"/>
        <w:jc w:val="both"/>
        <w:rPr>
          <w:rFonts w:ascii="Arial" w:hAnsi="Arial" w:cs="Arial"/>
          <w:color w:val="000000"/>
          <w:sz w:val="22"/>
          <w:szCs w:val="22"/>
        </w:rPr>
      </w:pPr>
      <w:r w:rsidRPr="00DB55D0">
        <w:rPr>
          <w:rFonts w:ascii="Arial" w:hAnsi="Arial" w:cs="Arial"/>
          <w:color w:val="000000"/>
          <w:sz w:val="22"/>
          <w:szCs w:val="22"/>
        </w:rPr>
        <w:t xml:space="preserve">La produzione delle ecoindustrie è realizzata in prevalenza dal settore degli operatori </w:t>
      </w:r>
      <w:r w:rsidRPr="00AA05F6">
        <w:rPr>
          <w:rFonts w:ascii="Arial" w:hAnsi="Arial" w:cs="Arial"/>
          <w:i/>
          <w:iCs/>
          <w:color w:val="000000"/>
          <w:sz w:val="22"/>
          <w:szCs w:val="22"/>
        </w:rPr>
        <w:t>market</w:t>
      </w:r>
      <w:r w:rsidRPr="00DB55D0">
        <w:rPr>
          <w:rFonts w:ascii="Arial" w:hAnsi="Arial" w:cs="Arial"/>
          <w:color w:val="000000"/>
          <w:sz w:val="22"/>
          <w:szCs w:val="22"/>
        </w:rPr>
        <w:t>, con un valore che si attesta a 78 miliardi nel 2020, corrispondente al 74,8% del valore complessivo del comparto e a un valore aggiunto di 32,3 miliardi di euro. Il restante 25,2% della produzione d</w:t>
      </w:r>
      <w:r w:rsidR="00FB262A">
        <w:rPr>
          <w:rFonts w:ascii="Arial" w:hAnsi="Arial" w:cs="Arial"/>
          <w:color w:val="000000"/>
          <w:sz w:val="22"/>
          <w:szCs w:val="22"/>
        </w:rPr>
        <w:t>i questo</w:t>
      </w:r>
      <w:r w:rsidRPr="00DB55D0">
        <w:rPr>
          <w:rFonts w:ascii="Arial" w:hAnsi="Arial" w:cs="Arial"/>
          <w:color w:val="000000"/>
          <w:sz w:val="22"/>
          <w:szCs w:val="22"/>
        </w:rPr>
        <w:t xml:space="preserve"> comparto, </w:t>
      </w:r>
      <w:r w:rsidRPr="000D57A2">
        <w:rPr>
          <w:rFonts w:ascii="Arial" w:hAnsi="Arial" w:cs="Arial"/>
          <w:color w:val="000000"/>
          <w:sz w:val="22"/>
          <w:szCs w:val="22"/>
        </w:rPr>
        <w:t>stimat</w:t>
      </w:r>
      <w:r w:rsidR="00FB262A" w:rsidRPr="000D57A2">
        <w:rPr>
          <w:rFonts w:ascii="Arial" w:hAnsi="Arial" w:cs="Arial"/>
          <w:color w:val="000000"/>
          <w:sz w:val="22"/>
          <w:szCs w:val="22"/>
        </w:rPr>
        <w:t>a</w:t>
      </w:r>
      <w:r w:rsidRPr="00DB55D0">
        <w:rPr>
          <w:rFonts w:ascii="Arial" w:hAnsi="Arial" w:cs="Arial"/>
          <w:color w:val="000000"/>
          <w:sz w:val="22"/>
          <w:szCs w:val="22"/>
        </w:rPr>
        <w:t xml:space="preserve"> per la prima volta dall’Istituto, è realizzata dagli operatori non </w:t>
      </w:r>
      <w:r w:rsidRPr="00AA05F6">
        <w:rPr>
          <w:rFonts w:ascii="Arial" w:hAnsi="Arial" w:cs="Arial"/>
          <w:i/>
          <w:iCs/>
          <w:color w:val="000000"/>
          <w:sz w:val="22"/>
          <w:szCs w:val="22"/>
        </w:rPr>
        <w:t>market</w:t>
      </w:r>
      <w:r w:rsidRPr="00DB55D0">
        <w:rPr>
          <w:rFonts w:ascii="Arial" w:hAnsi="Arial" w:cs="Arial"/>
          <w:color w:val="000000"/>
          <w:sz w:val="22"/>
          <w:szCs w:val="22"/>
        </w:rPr>
        <w:t xml:space="preserve"> (</w:t>
      </w:r>
      <w:r w:rsidR="00067DE8">
        <w:rPr>
          <w:rFonts w:ascii="Arial" w:hAnsi="Arial" w:cs="Arial"/>
          <w:color w:val="000000"/>
          <w:sz w:val="22"/>
          <w:szCs w:val="22"/>
        </w:rPr>
        <w:t>Pubblica a</w:t>
      </w:r>
      <w:r w:rsidR="00194403">
        <w:rPr>
          <w:rFonts w:ascii="Arial" w:hAnsi="Arial" w:cs="Arial"/>
          <w:color w:val="000000"/>
          <w:sz w:val="22"/>
          <w:szCs w:val="22"/>
        </w:rPr>
        <w:t>mministrazione</w:t>
      </w:r>
      <w:r w:rsidRPr="00DB55D0">
        <w:rPr>
          <w:rFonts w:ascii="Arial" w:hAnsi="Arial" w:cs="Arial"/>
          <w:color w:val="000000"/>
          <w:sz w:val="22"/>
          <w:szCs w:val="22"/>
        </w:rPr>
        <w:t xml:space="preserve"> e </w:t>
      </w:r>
      <w:r w:rsidR="00194403">
        <w:rPr>
          <w:rFonts w:ascii="Arial" w:hAnsi="Arial" w:cs="Arial"/>
          <w:color w:val="000000"/>
          <w:sz w:val="22"/>
          <w:szCs w:val="22"/>
        </w:rPr>
        <w:t>I</w:t>
      </w:r>
      <w:r w:rsidRPr="00DB55D0">
        <w:rPr>
          <w:rFonts w:ascii="Arial" w:hAnsi="Arial" w:cs="Arial"/>
          <w:color w:val="000000"/>
          <w:sz w:val="22"/>
          <w:szCs w:val="22"/>
        </w:rPr>
        <w:t xml:space="preserve">stituzioni sociali al servizio delle famiglie) o svolta in proprio da tutti gli operatori economici, per essere destinata al reimpiego nel processo produttivo (ad esempio attività di recupero di materiali da reimmettere nel processo di produzione) o al proprio consumo finale (ad esempio l’energia solare prodotta e consumata all’interno delle famiglie). </w:t>
      </w:r>
    </w:p>
    <w:p w14:paraId="1BF2DD85" w14:textId="77777777" w:rsidR="00DB55D0" w:rsidRPr="00DB55D0" w:rsidRDefault="00DB55D0" w:rsidP="00CE7D0F">
      <w:pPr>
        <w:spacing w:after="120"/>
        <w:jc w:val="both"/>
        <w:rPr>
          <w:rFonts w:ascii="Arial" w:hAnsi="Arial" w:cs="Arial"/>
          <w:color w:val="000000"/>
          <w:sz w:val="22"/>
          <w:szCs w:val="22"/>
        </w:rPr>
      </w:pPr>
      <w:r w:rsidRPr="00DB55D0">
        <w:rPr>
          <w:rFonts w:ascii="Arial" w:hAnsi="Arial" w:cs="Arial"/>
          <w:color w:val="000000"/>
          <w:sz w:val="22"/>
          <w:szCs w:val="22"/>
        </w:rPr>
        <w:t xml:space="preserve">Nel 2020 si conferma la prevalenza delle attività svolte in campo energetico, che assorbono quasi il 40% del valore complessivo del comparto, seguite dai servizi di depurazione delle acque e di gestione dei rifiuti, che generano un terzo del valore aggiunto complessivo delle ecoindustrie. </w:t>
      </w:r>
    </w:p>
    <w:p w14:paraId="4F290012" w14:textId="77777777" w:rsidR="00DB55D0" w:rsidRPr="00DB55D0" w:rsidRDefault="00DB55D0" w:rsidP="00CE7D0F">
      <w:pPr>
        <w:spacing w:after="120"/>
        <w:jc w:val="both"/>
        <w:rPr>
          <w:rFonts w:ascii="Arial" w:hAnsi="Arial" w:cs="Arial"/>
          <w:color w:val="000000"/>
          <w:sz w:val="22"/>
          <w:szCs w:val="22"/>
        </w:rPr>
      </w:pPr>
      <w:r w:rsidRPr="00DB55D0">
        <w:rPr>
          <w:rFonts w:ascii="Arial" w:hAnsi="Arial" w:cs="Arial"/>
          <w:color w:val="000000"/>
          <w:sz w:val="22"/>
          <w:szCs w:val="22"/>
        </w:rPr>
        <w:t xml:space="preserve">La riduzione complessiva osservata per il settore rispetto al 2019 è il risultato di dinamiche differenti a seconda delle finalità ambientali perseguite. </w:t>
      </w:r>
    </w:p>
    <w:p w14:paraId="72F49AB0" w14:textId="27E7EA10" w:rsidR="00DB55D0" w:rsidRPr="00DB55D0" w:rsidRDefault="00DB55D0" w:rsidP="00AA05F6">
      <w:pPr>
        <w:spacing w:after="120"/>
        <w:jc w:val="both"/>
        <w:rPr>
          <w:rFonts w:ascii="Arial" w:hAnsi="Arial" w:cs="Arial"/>
          <w:color w:val="000000"/>
          <w:sz w:val="22"/>
          <w:szCs w:val="22"/>
        </w:rPr>
      </w:pPr>
      <w:r w:rsidRPr="00DB55D0">
        <w:rPr>
          <w:rFonts w:ascii="Arial" w:hAnsi="Arial" w:cs="Arial"/>
          <w:color w:val="000000"/>
          <w:sz w:val="22"/>
          <w:szCs w:val="22"/>
        </w:rPr>
        <w:t xml:space="preserve">Il campo energetico è uno degli ambiti con dinamiche negative, con una flessione del valore aggiunto sia nel valore degli interventi per l’efficienza energetica e dei materiali prodotti per questa finalità </w:t>
      </w:r>
      <w:r w:rsidR="00194403">
        <w:rPr>
          <w:rFonts w:ascii="Arial" w:hAnsi="Arial" w:cs="Arial"/>
          <w:color w:val="000000"/>
          <w:sz w:val="22"/>
          <w:szCs w:val="22"/>
        </w:rPr>
        <w:br/>
      </w:r>
      <w:r w:rsidRPr="00DB55D0">
        <w:rPr>
          <w:rFonts w:ascii="Arial" w:hAnsi="Arial" w:cs="Arial"/>
          <w:color w:val="000000"/>
          <w:sz w:val="22"/>
          <w:szCs w:val="22"/>
        </w:rPr>
        <w:t>(-12,2%), sia nel settore delle energie rinnovabili (-4,4%). In quest</w:t>
      </w:r>
      <w:r w:rsidR="00194403">
        <w:rPr>
          <w:rFonts w:ascii="Arial" w:hAnsi="Arial" w:cs="Arial"/>
          <w:color w:val="000000"/>
          <w:sz w:val="22"/>
          <w:szCs w:val="22"/>
        </w:rPr>
        <w:t>’</w:t>
      </w:r>
      <w:r w:rsidRPr="00DB55D0">
        <w:rPr>
          <w:rFonts w:ascii="Arial" w:hAnsi="Arial" w:cs="Arial"/>
          <w:color w:val="000000"/>
          <w:sz w:val="22"/>
          <w:szCs w:val="22"/>
        </w:rPr>
        <w:t>ultimo caso, pur in presenza di un</w:t>
      </w:r>
      <w:r w:rsidR="00194403">
        <w:rPr>
          <w:rFonts w:ascii="Arial" w:hAnsi="Arial" w:cs="Arial"/>
          <w:color w:val="000000"/>
          <w:sz w:val="22"/>
          <w:szCs w:val="22"/>
        </w:rPr>
        <w:t>’</w:t>
      </w:r>
      <w:r w:rsidRPr="00DB55D0">
        <w:rPr>
          <w:rFonts w:ascii="Arial" w:hAnsi="Arial" w:cs="Arial"/>
          <w:color w:val="000000"/>
          <w:sz w:val="22"/>
          <w:szCs w:val="22"/>
        </w:rPr>
        <w:t>accresciuta quantità di energia prodotta, è l’andamento del prezzo base a determinare la dinamica negativa.</w:t>
      </w:r>
    </w:p>
    <w:p w14:paraId="7BF8BB5D" w14:textId="66C41CFA" w:rsidR="00E73277" w:rsidRDefault="00DB55D0" w:rsidP="00AA05F6">
      <w:pPr>
        <w:spacing w:after="120"/>
        <w:jc w:val="both"/>
        <w:rPr>
          <w:rFonts w:ascii="Arial" w:hAnsi="Arial" w:cs="Arial"/>
          <w:color w:val="000000"/>
          <w:sz w:val="22"/>
          <w:szCs w:val="22"/>
        </w:rPr>
      </w:pPr>
      <w:r w:rsidRPr="00DB55D0">
        <w:rPr>
          <w:rFonts w:ascii="Arial" w:hAnsi="Arial" w:cs="Arial"/>
          <w:color w:val="000000"/>
          <w:sz w:val="22"/>
          <w:szCs w:val="22"/>
        </w:rPr>
        <w:t>Per contro, i servizi di depurazione delle acque reflue, il comparto dei rifiuti e le attività di disinquinamento, non hanno risentito degli effetti compressivi della pandemia, registrando incrementi del valore aggiunto (rispettivamente d</w:t>
      </w:r>
      <w:r w:rsidR="00194403">
        <w:rPr>
          <w:rFonts w:ascii="Arial" w:hAnsi="Arial" w:cs="Arial"/>
          <w:color w:val="000000"/>
          <w:sz w:val="22"/>
          <w:szCs w:val="22"/>
        </w:rPr>
        <w:t>i</w:t>
      </w:r>
      <w:r w:rsidRPr="00DB55D0">
        <w:rPr>
          <w:rFonts w:ascii="Arial" w:hAnsi="Arial" w:cs="Arial"/>
          <w:color w:val="000000"/>
          <w:sz w:val="22"/>
          <w:szCs w:val="22"/>
        </w:rPr>
        <w:t xml:space="preserve"> 1,4%, 0,6% e 2,4%). </w:t>
      </w:r>
    </w:p>
    <w:p w14:paraId="320FE76F" w14:textId="1DD29EA5" w:rsidR="00DB55D0" w:rsidRDefault="00DB55D0" w:rsidP="00CE7D0F">
      <w:pPr>
        <w:spacing w:after="120"/>
        <w:jc w:val="both"/>
        <w:rPr>
          <w:rFonts w:ascii="Arial" w:hAnsi="Arial" w:cs="Arial"/>
          <w:color w:val="000000"/>
          <w:sz w:val="22"/>
          <w:szCs w:val="22"/>
        </w:rPr>
      </w:pPr>
    </w:p>
    <w:p w14:paraId="341CEF24" w14:textId="650F08E5" w:rsidR="00DB55D0" w:rsidRDefault="00DB55D0" w:rsidP="00CE7D0F">
      <w:pPr>
        <w:spacing w:after="120"/>
        <w:jc w:val="both"/>
        <w:rPr>
          <w:rFonts w:ascii="Arial" w:hAnsi="Arial" w:cs="Arial"/>
          <w:color w:val="000000"/>
          <w:sz w:val="22"/>
          <w:szCs w:val="22"/>
        </w:rPr>
      </w:pPr>
    </w:p>
    <w:p w14:paraId="0CD5186E" w14:textId="1D3687B0" w:rsidR="00DB55D0" w:rsidRDefault="00DB55D0" w:rsidP="00CE7D0F">
      <w:pPr>
        <w:spacing w:after="120"/>
        <w:jc w:val="both"/>
        <w:rPr>
          <w:rFonts w:ascii="Arial" w:hAnsi="Arial" w:cs="Arial"/>
          <w:color w:val="000000"/>
          <w:sz w:val="22"/>
          <w:szCs w:val="22"/>
        </w:rPr>
      </w:pPr>
    </w:p>
    <w:p w14:paraId="5000303F" w14:textId="0BC5DAE2" w:rsidR="00DB55D0" w:rsidRDefault="00DB55D0" w:rsidP="00194403">
      <w:pPr>
        <w:jc w:val="both"/>
        <w:rPr>
          <w:rFonts w:ascii="Arial" w:hAnsi="Arial" w:cs="Arial"/>
          <w:color w:val="000000"/>
          <w:sz w:val="22"/>
          <w:szCs w:val="22"/>
        </w:rPr>
      </w:pPr>
    </w:p>
    <w:p w14:paraId="406ACFDE" w14:textId="28230063" w:rsidR="00AA05F6" w:rsidRDefault="00AA05F6" w:rsidP="00194403">
      <w:pPr>
        <w:jc w:val="both"/>
        <w:rPr>
          <w:rFonts w:ascii="Arial" w:hAnsi="Arial" w:cs="Arial"/>
          <w:color w:val="000000"/>
          <w:sz w:val="22"/>
          <w:szCs w:val="22"/>
        </w:rPr>
      </w:pPr>
    </w:p>
    <w:p w14:paraId="61D2B100" w14:textId="77777777" w:rsidR="00AA05F6" w:rsidRDefault="00AA05F6" w:rsidP="00194403">
      <w:pPr>
        <w:jc w:val="both"/>
        <w:rPr>
          <w:rFonts w:ascii="Arial" w:hAnsi="Arial" w:cs="Arial"/>
          <w:color w:val="000000"/>
          <w:sz w:val="22"/>
          <w:szCs w:val="22"/>
        </w:rPr>
      </w:pPr>
    </w:p>
    <w:p w14:paraId="22D1EAEF" w14:textId="77777777" w:rsidR="00194403" w:rsidRPr="00AA05F6" w:rsidRDefault="00194403" w:rsidP="00194403">
      <w:pPr>
        <w:jc w:val="both"/>
        <w:rPr>
          <w:rFonts w:ascii="Arial" w:hAnsi="Arial" w:cs="Arial"/>
          <w:color w:val="000000"/>
          <w:sz w:val="28"/>
          <w:szCs w:val="28"/>
        </w:rPr>
      </w:pPr>
    </w:p>
    <w:p w14:paraId="2FE37D56" w14:textId="77777777" w:rsidR="0005109E" w:rsidRPr="002C477D" w:rsidRDefault="000B39E3" w:rsidP="00194403">
      <w:pPr>
        <w:rPr>
          <w:rFonts w:ascii="Arial Narrow" w:hAnsi="Arial Narrow"/>
          <w:b/>
          <w:iCs/>
          <w:caps/>
          <w:noProof/>
          <w:color w:val="1F497D" w:themeColor="text2"/>
          <w:sz w:val="22"/>
          <w:szCs w:val="22"/>
        </w:rPr>
      </w:pPr>
      <w:r>
        <w:rPr>
          <w:rFonts w:ascii="Arial Black" w:hAnsi="Arial Black" w:cs="Arial"/>
          <w:iCs/>
          <w:noProof/>
          <w:color w:val="1F497D" w:themeColor="text2"/>
          <w:sz w:val="22"/>
          <w:szCs w:val="22"/>
        </w:rPr>
        <w:t xml:space="preserve">FIGURA </w:t>
      </w:r>
      <w:r w:rsidR="002B47CC">
        <w:rPr>
          <w:rFonts w:ascii="Arial Black" w:hAnsi="Arial Black" w:cs="Arial"/>
          <w:iCs/>
          <w:noProof/>
          <w:color w:val="1F497D" w:themeColor="text2"/>
          <w:sz w:val="22"/>
          <w:szCs w:val="22"/>
        </w:rPr>
        <w:t>5</w:t>
      </w:r>
      <w:r w:rsidRPr="000D59C2">
        <w:rPr>
          <w:rFonts w:ascii="Arial Narrow" w:hAnsi="Arial Narrow" w:cs="Arial"/>
          <w:b/>
          <w:iCs/>
          <w:noProof/>
          <w:color w:val="1F497D" w:themeColor="text2"/>
          <w:sz w:val="22"/>
          <w:szCs w:val="22"/>
        </w:rPr>
        <w:t xml:space="preserve">. </w:t>
      </w:r>
      <w:r w:rsidR="0005109E" w:rsidRPr="002C477D">
        <w:rPr>
          <w:rFonts w:ascii="Arial Narrow" w:hAnsi="Arial Narrow"/>
          <w:b/>
          <w:iCs/>
          <w:caps/>
          <w:noProof/>
          <w:color w:val="1F497D" w:themeColor="text2"/>
          <w:sz w:val="22"/>
          <w:szCs w:val="22"/>
        </w:rPr>
        <w:t>Valore aggiunto per finalità ambientale</w:t>
      </w:r>
    </w:p>
    <w:p w14:paraId="454C1CDD" w14:textId="16AF4630" w:rsidR="0005109E" w:rsidRPr="002C477D" w:rsidRDefault="0005109E" w:rsidP="00194403">
      <w:pPr>
        <w:pStyle w:val="Paragrafoelenco"/>
        <w:ind w:left="0"/>
        <w:contextualSpacing w:val="0"/>
        <w:rPr>
          <w:rFonts w:ascii="Arial Narrow" w:hAnsi="Arial Narrow"/>
          <w:iCs/>
          <w:noProof/>
          <w:color w:val="1F497D" w:themeColor="text2"/>
          <w:sz w:val="22"/>
          <w:szCs w:val="22"/>
        </w:rPr>
      </w:pPr>
      <w:r w:rsidRPr="002C477D">
        <w:rPr>
          <w:rFonts w:ascii="Arial Narrow" w:hAnsi="Arial Narrow"/>
          <w:iCs/>
          <w:noProof/>
          <w:color w:val="1F497D" w:themeColor="text2"/>
          <w:sz w:val="22"/>
          <w:szCs w:val="22"/>
        </w:rPr>
        <w:t>Anni 2019-2020, miliardi di euro</w:t>
      </w:r>
    </w:p>
    <w:p w14:paraId="5D245742" w14:textId="7496EB0D" w:rsidR="00194403" w:rsidRDefault="00194403" w:rsidP="00194403">
      <w:pPr>
        <w:pStyle w:val="Paragrafoelenco"/>
        <w:ind w:left="0"/>
        <w:contextualSpacing w:val="0"/>
        <w:rPr>
          <w:rFonts w:ascii="Arial Narrow" w:hAnsi="Arial Narrow"/>
          <w:iCs/>
          <w:noProof/>
          <w:color w:val="1F497D" w:themeColor="text2"/>
        </w:rPr>
      </w:pPr>
    </w:p>
    <w:p w14:paraId="5CC43B25" w14:textId="5E8F620A" w:rsidR="00B35795" w:rsidRDefault="00AB1EA3" w:rsidP="00194403">
      <w:pPr>
        <w:pStyle w:val="Paragrafoelenco"/>
        <w:ind w:left="0"/>
        <w:contextualSpacing w:val="0"/>
        <w:rPr>
          <w:rFonts w:ascii="Arial Narrow" w:hAnsi="Arial Narrow"/>
          <w:iCs/>
          <w:noProof/>
          <w:color w:val="1F497D" w:themeColor="text2"/>
        </w:rPr>
      </w:pPr>
      <w:r>
        <w:rPr>
          <w:rFonts w:ascii="Arial Narrow" w:hAnsi="Arial Narrow"/>
          <w:iCs/>
          <w:noProof/>
          <w:color w:val="1F497D" w:themeColor="text2"/>
        </w:rPr>
        <w:fldChar w:fldCharType="begin"/>
      </w:r>
      <w:r>
        <w:rPr>
          <w:rFonts w:ascii="Arial Narrow" w:hAnsi="Arial Narrow"/>
          <w:iCs/>
          <w:noProof/>
          <w:color w:val="1F497D" w:themeColor="text2"/>
        </w:rPr>
        <w:instrText xml:space="preserve"> LINK Excel.Sheet.12 "D:\\ISTAT\\Editing report\\Statistica report economia e ambiente\\Economia e ambiente_FIGURE.xlsx!Figura 6 - beni e servizi![Economia e ambiente_FIGURE.xlsx]Figura 6 - beni e servizi Grafico 1" "" \a \p </w:instrText>
      </w:r>
      <w:r>
        <w:rPr>
          <w:rFonts w:ascii="Arial Narrow" w:hAnsi="Arial Narrow"/>
          <w:iCs/>
          <w:noProof/>
          <w:color w:val="1F497D" w:themeColor="text2"/>
        </w:rPr>
        <w:fldChar w:fldCharType="separate"/>
      </w:r>
      <w:r w:rsidR="00B7452B">
        <w:rPr>
          <w:rFonts w:ascii="Arial Narrow" w:hAnsi="Arial Narrow"/>
          <w:iCs/>
          <w:noProof/>
          <w:color w:val="1F497D" w:themeColor="text2"/>
        </w:rPr>
        <w:object w:dxaOrig="9990" w:dyaOrig="3405" w14:anchorId="27727D92">
          <v:shape id="_x0000_i1031" type="#_x0000_t75" style="width:497.25pt;height:172.5pt" o:ole="">
            <v:imagedata r:id="rId22" o:title=""/>
          </v:shape>
        </w:object>
      </w:r>
      <w:r>
        <w:rPr>
          <w:rFonts w:ascii="Arial Narrow" w:hAnsi="Arial Narrow"/>
          <w:iCs/>
          <w:noProof/>
          <w:color w:val="1F497D" w:themeColor="text2"/>
        </w:rPr>
        <w:fldChar w:fldCharType="end"/>
      </w:r>
    </w:p>
    <w:p w14:paraId="234517EC" w14:textId="27434235" w:rsidR="007B27D8" w:rsidRPr="0005109E" w:rsidRDefault="0005109E" w:rsidP="00AA05F6">
      <w:pPr>
        <w:tabs>
          <w:tab w:val="left" w:pos="900"/>
        </w:tabs>
        <w:rPr>
          <w:rFonts w:ascii="Arial" w:hAnsi="Arial" w:cs="Arial"/>
          <w:sz w:val="15"/>
          <w:szCs w:val="15"/>
        </w:rPr>
      </w:pPr>
      <w:r w:rsidRPr="0005109E">
        <w:rPr>
          <w:rFonts w:ascii="Arial" w:hAnsi="Arial" w:cs="Arial"/>
          <w:sz w:val="15"/>
          <w:szCs w:val="15"/>
        </w:rPr>
        <w:t>Fonte: Istat, Conti ambientali - Conto dei beni e servizi ambientali</w:t>
      </w:r>
      <w:r w:rsidR="007B27D8" w:rsidRPr="0005109E">
        <w:rPr>
          <w:rFonts w:ascii="Arial" w:hAnsi="Arial" w:cs="Arial"/>
          <w:sz w:val="15"/>
          <w:szCs w:val="15"/>
        </w:rPr>
        <w:br w:type="page"/>
      </w:r>
    </w:p>
    <w:p w14:paraId="4C046E56" w14:textId="77777777" w:rsidR="00F0057A" w:rsidRPr="00E73277" w:rsidRDefault="00F0057A" w:rsidP="00DE1C28">
      <w:pPr>
        <w:spacing w:after="120"/>
        <w:rPr>
          <w:rFonts w:ascii="Arial" w:hAnsi="Arial" w:cs="Arial"/>
          <w:color w:val="1F497D" w:themeColor="text2"/>
          <w:sz w:val="22"/>
          <w:szCs w:val="22"/>
        </w:rPr>
      </w:pPr>
    </w:p>
    <w:p w14:paraId="2342CA61" w14:textId="14973039" w:rsidR="006D4F9B" w:rsidRPr="00CE7D0F" w:rsidRDefault="00695A90" w:rsidP="00DE1C28">
      <w:pPr>
        <w:spacing w:after="120"/>
        <w:jc w:val="both"/>
        <w:rPr>
          <w:rFonts w:ascii="Arial" w:hAnsi="Arial" w:cs="Arial"/>
          <w:b/>
          <w:color w:val="1F497D" w:themeColor="text2"/>
          <w:sz w:val="26"/>
          <w:szCs w:val="26"/>
        </w:rPr>
      </w:pPr>
      <w:r w:rsidRPr="00CE7D0F">
        <w:rPr>
          <w:rFonts w:ascii="Arial" w:hAnsi="Arial" w:cs="Arial"/>
          <w:b/>
          <w:color w:val="1F497D" w:themeColor="text2"/>
          <w:sz w:val="26"/>
          <w:szCs w:val="26"/>
        </w:rPr>
        <w:t>S</w:t>
      </w:r>
      <w:r w:rsidR="006D4F9B" w:rsidRPr="00CE7D0F">
        <w:rPr>
          <w:rFonts w:ascii="Arial" w:hAnsi="Arial" w:cs="Arial"/>
          <w:b/>
          <w:color w:val="1F497D" w:themeColor="text2"/>
          <w:sz w:val="26"/>
          <w:szCs w:val="26"/>
        </w:rPr>
        <w:t xml:space="preserve">tabili le spese per la protezione dell’ambiente </w:t>
      </w:r>
    </w:p>
    <w:p w14:paraId="22D89D71" w14:textId="4F506CCF" w:rsidR="006D4F9B" w:rsidRPr="00CE7D0F" w:rsidRDefault="006D4F9B" w:rsidP="00DE1C28">
      <w:pPr>
        <w:spacing w:after="120"/>
        <w:jc w:val="both"/>
        <w:rPr>
          <w:rFonts w:ascii="Arial" w:hAnsi="Arial" w:cs="Arial"/>
          <w:color w:val="000000"/>
          <w:sz w:val="22"/>
          <w:szCs w:val="22"/>
        </w:rPr>
      </w:pPr>
      <w:r w:rsidRPr="00CE7D0F">
        <w:rPr>
          <w:rFonts w:ascii="Arial" w:hAnsi="Arial" w:cs="Arial"/>
          <w:color w:val="000000"/>
          <w:sz w:val="22"/>
          <w:szCs w:val="22"/>
        </w:rPr>
        <w:t>Per la prevenzione e riduzione dell'inquinamento e di ogni altra forma di degrado ambientale, l’economia mobilita risorse, principalmente consumi e investimenti,</w:t>
      </w:r>
      <w:r w:rsidR="00A93CE7">
        <w:rPr>
          <w:rFonts w:ascii="Arial" w:hAnsi="Arial" w:cs="Arial"/>
          <w:color w:val="000000"/>
          <w:sz w:val="22"/>
          <w:szCs w:val="22"/>
        </w:rPr>
        <w:t xml:space="preserve"> misurate dalla S</w:t>
      </w:r>
      <w:r w:rsidRPr="00CE7D0F">
        <w:rPr>
          <w:rFonts w:ascii="Arial" w:hAnsi="Arial" w:cs="Arial"/>
          <w:color w:val="000000"/>
          <w:sz w:val="22"/>
          <w:szCs w:val="22"/>
        </w:rPr>
        <w:t xml:space="preserve">pesa nazionale per la protezione dell’ambiente. Nel 2020, la spesa è risultata di 43,2 miliardi di euro, pari all’2,6% del Pil, </w:t>
      </w:r>
      <w:r w:rsidR="00695A90" w:rsidRPr="00CE7D0F">
        <w:rPr>
          <w:rFonts w:ascii="Arial" w:hAnsi="Arial" w:cs="Arial"/>
          <w:color w:val="000000"/>
          <w:sz w:val="22"/>
          <w:szCs w:val="22"/>
        </w:rPr>
        <w:t>con una riduzione rispetto al 2019 dello 0,02%.</w:t>
      </w:r>
    </w:p>
    <w:p w14:paraId="463D4A12" w14:textId="54A5A60B" w:rsidR="00DE1C28" w:rsidRPr="00CE7D0F" w:rsidRDefault="006D4F9B" w:rsidP="00DE1C28">
      <w:pPr>
        <w:spacing w:after="120"/>
        <w:jc w:val="both"/>
        <w:rPr>
          <w:rFonts w:ascii="Arial" w:hAnsi="Arial" w:cs="Arial"/>
          <w:color w:val="000000"/>
          <w:sz w:val="22"/>
          <w:szCs w:val="22"/>
        </w:rPr>
      </w:pPr>
      <w:r w:rsidRPr="00CE7D0F">
        <w:rPr>
          <w:rFonts w:ascii="Arial" w:hAnsi="Arial" w:cs="Arial"/>
          <w:color w:val="000000"/>
          <w:sz w:val="22"/>
          <w:szCs w:val="22"/>
        </w:rPr>
        <w:t xml:space="preserve">La metà della spesa (oltre 22 miliardi nel 2020, </w:t>
      </w:r>
      <w:r w:rsidR="00194403" w:rsidRPr="00CE7D0F">
        <w:rPr>
          <w:rFonts w:ascii="Arial" w:hAnsi="Arial" w:cs="Arial"/>
          <w:color w:val="000000"/>
          <w:sz w:val="22"/>
          <w:szCs w:val="22"/>
        </w:rPr>
        <w:t>su</w:t>
      </w:r>
      <w:r w:rsidRPr="00CE7D0F">
        <w:rPr>
          <w:rFonts w:ascii="Arial" w:hAnsi="Arial" w:cs="Arial"/>
          <w:color w:val="000000"/>
          <w:sz w:val="22"/>
          <w:szCs w:val="22"/>
        </w:rPr>
        <w:t xml:space="preserve">l 2019 </w:t>
      </w:r>
      <w:r w:rsidR="00194403" w:rsidRPr="00CE7D0F">
        <w:rPr>
          <w:rFonts w:ascii="Arial" w:hAnsi="Arial" w:cs="Arial"/>
          <w:color w:val="000000"/>
          <w:sz w:val="22"/>
          <w:szCs w:val="22"/>
        </w:rPr>
        <w:t>+</w:t>
      </w:r>
      <w:r w:rsidRPr="00CE7D0F">
        <w:rPr>
          <w:rFonts w:ascii="Arial" w:hAnsi="Arial" w:cs="Arial"/>
          <w:color w:val="000000"/>
          <w:sz w:val="22"/>
          <w:szCs w:val="22"/>
        </w:rPr>
        <w:t xml:space="preserve">2,0%) ha riguardato attività di gestione dei rifiuti, quali prevenzione della loro produzione, raccolta, trattamento e smaltimento. </w:t>
      </w:r>
    </w:p>
    <w:p w14:paraId="6B1CBA49" w14:textId="21074ADB" w:rsidR="006D4F9B" w:rsidRPr="00CE7D0F" w:rsidRDefault="006D4F9B" w:rsidP="00DE1C28">
      <w:pPr>
        <w:spacing w:after="120"/>
        <w:jc w:val="both"/>
        <w:rPr>
          <w:rFonts w:ascii="Arial" w:hAnsi="Arial" w:cs="Arial"/>
          <w:color w:val="000000"/>
          <w:sz w:val="22"/>
          <w:szCs w:val="22"/>
        </w:rPr>
      </w:pPr>
      <w:r w:rsidRPr="00CE7D0F">
        <w:rPr>
          <w:rFonts w:ascii="Arial" w:hAnsi="Arial" w:cs="Arial"/>
          <w:color w:val="000000"/>
          <w:sz w:val="22"/>
          <w:szCs w:val="22"/>
        </w:rPr>
        <w:t xml:space="preserve">Il 23% delle risorse per la protezione dell’ambiente (quasi 10 miliardi nel 2020, in aumento dello 0,8% sul 2019) è stato speso per la gestione delle acque reflue, ovvero per la riduzione degli scarichi, la raccolta e il trattamento dei reflui. Le spese sostenute per le altre attività di protezione dell’ambiente </w:t>
      </w:r>
      <w:r w:rsidR="00DE1C28" w:rsidRPr="00CE7D0F">
        <w:rPr>
          <w:rFonts w:ascii="Arial" w:hAnsi="Arial" w:cs="Arial"/>
          <w:color w:val="000000"/>
          <w:sz w:val="22"/>
          <w:szCs w:val="22"/>
        </w:rPr>
        <w:t>-</w:t>
      </w:r>
      <w:r w:rsidRPr="00CE7D0F">
        <w:rPr>
          <w:rFonts w:ascii="Arial" w:hAnsi="Arial" w:cs="Arial"/>
          <w:color w:val="000000"/>
          <w:sz w:val="22"/>
          <w:szCs w:val="22"/>
        </w:rPr>
        <w:t xml:space="preserve"> per aria e clima, decontaminazione del suolo inquinato, riduzione del rumore, salvaguardia della biodiversità e del paesaggio, protezion</w:t>
      </w:r>
      <w:r w:rsidR="009B706C">
        <w:rPr>
          <w:rFonts w:ascii="Arial" w:hAnsi="Arial" w:cs="Arial"/>
          <w:color w:val="000000"/>
          <w:sz w:val="22"/>
          <w:szCs w:val="22"/>
        </w:rPr>
        <w:t>e dalle radiazioni e Ricerca e s</w:t>
      </w:r>
      <w:r w:rsidRPr="00CE7D0F">
        <w:rPr>
          <w:rFonts w:ascii="Arial" w:hAnsi="Arial" w:cs="Arial"/>
          <w:color w:val="000000"/>
          <w:sz w:val="22"/>
          <w:szCs w:val="22"/>
        </w:rPr>
        <w:t>viluppo - ammontano complessivamente a più di 11 miliardi correnti</w:t>
      </w:r>
      <w:r w:rsidR="00DE1C28" w:rsidRPr="00CE7D0F">
        <w:rPr>
          <w:rFonts w:ascii="Arial" w:hAnsi="Arial" w:cs="Arial"/>
          <w:color w:val="000000"/>
          <w:sz w:val="22"/>
          <w:szCs w:val="22"/>
        </w:rPr>
        <w:t xml:space="preserve"> (-</w:t>
      </w:r>
      <w:r w:rsidR="00695A90" w:rsidRPr="00CE7D0F">
        <w:rPr>
          <w:rFonts w:ascii="Arial" w:hAnsi="Arial" w:cs="Arial"/>
          <w:color w:val="000000"/>
          <w:sz w:val="22"/>
          <w:szCs w:val="22"/>
        </w:rPr>
        <w:t>4</w:t>
      </w:r>
      <w:r w:rsidRPr="00CE7D0F">
        <w:rPr>
          <w:rFonts w:ascii="Arial" w:hAnsi="Arial" w:cs="Arial"/>
          <w:color w:val="000000"/>
          <w:sz w:val="22"/>
          <w:szCs w:val="22"/>
        </w:rPr>
        <w:t>,</w:t>
      </w:r>
      <w:r w:rsidR="00695A90" w:rsidRPr="00CE7D0F">
        <w:rPr>
          <w:rFonts w:ascii="Arial" w:hAnsi="Arial" w:cs="Arial"/>
          <w:color w:val="000000"/>
          <w:sz w:val="22"/>
          <w:szCs w:val="22"/>
        </w:rPr>
        <w:t>4</w:t>
      </w:r>
      <w:r w:rsidRPr="00CE7D0F">
        <w:rPr>
          <w:rFonts w:ascii="Arial" w:hAnsi="Arial" w:cs="Arial"/>
          <w:color w:val="000000"/>
          <w:sz w:val="22"/>
          <w:szCs w:val="22"/>
        </w:rPr>
        <w:t>% nel periodo</w:t>
      </w:r>
      <w:r w:rsidR="00DE1C28" w:rsidRPr="00CE7D0F">
        <w:rPr>
          <w:rFonts w:ascii="Arial" w:hAnsi="Arial" w:cs="Arial"/>
          <w:color w:val="000000"/>
          <w:sz w:val="22"/>
          <w:szCs w:val="22"/>
        </w:rPr>
        <w:t>)</w:t>
      </w:r>
      <w:r w:rsidRPr="00CE7D0F">
        <w:rPr>
          <w:rFonts w:ascii="Arial" w:hAnsi="Arial" w:cs="Arial"/>
          <w:color w:val="000000"/>
          <w:sz w:val="22"/>
          <w:szCs w:val="22"/>
        </w:rPr>
        <w:t>.</w:t>
      </w:r>
    </w:p>
    <w:p w14:paraId="4823723D" w14:textId="52D1D657" w:rsidR="006D4F9B" w:rsidRPr="006D4F9B" w:rsidRDefault="006D4F9B" w:rsidP="00DE1C28">
      <w:pPr>
        <w:spacing w:after="120"/>
        <w:jc w:val="both"/>
        <w:rPr>
          <w:rFonts w:ascii="Arial" w:hAnsi="Arial" w:cs="Arial"/>
          <w:color w:val="000000"/>
          <w:sz w:val="22"/>
          <w:szCs w:val="22"/>
        </w:rPr>
      </w:pPr>
      <w:r w:rsidRPr="00CE7D0F">
        <w:rPr>
          <w:rFonts w:ascii="Arial" w:hAnsi="Arial" w:cs="Arial"/>
          <w:color w:val="000000"/>
          <w:sz w:val="22"/>
          <w:szCs w:val="22"/>
        </w:rPr>
        <w:t>Sono le imprese a sostenere la maggior parte delle spese per la depurazione delle acque e per la gestione dei rifiuti (rispettivamente il 62</w:t>
      </w:r>
      <w:r w:rsidR="000D57A2" w:rsidRPr="00CE7D0F">
        <w:rPr>
          <w:rFonts w:ascii="Arial" w:hAnsi="Arial" w:cs="Arial"/>
          <w:color w:val="000000"/>
          <w:sz w:val="22"/>
          <w:szCs w:val="22"/>
        </w:rPr>
        <w:t>%</w:t>
      </w:r>
      <w:r w:rsidRPr="00CE7D0F">
        <w:rPr>
          <w:rFonts w:ascii="Arial" w:hAnsi="Arial" w:cs="Arial"/>
          <w:color w:val="000000"/>
          <w:sz w:val="22"/>
          <w:szCs w:val="22"/>
        </w:rPr>
        <w:t xml:space="preserve"> e 53% del totale 2020), investendo e acquistando tali servizi per la realizzazione delle proprie attività. La spesa delle famiglie per i due settori considerati copre il 27% della spesa totale nel caso della depurazione e oltre il 30% per la gestione dei rif</w:t>
      </w:r>
      <w:r w:rsidR="003A42BF">
        <w:rPr>
          <w:rFonts w:ascii="Arial" w:hAnsi="Arial" w:cs="Arial"/>
          <w:color w:val="000000"/>
          <w:sz w:val="22"/>
          <w:szCs w:val="22"/>
        </w:rPr>
        <w:t>iuti. La parte restante (oltre un</w:t>
      </w:r>
      <w:r w:rsidRPr="00CE7D0F">
        <w:rPr>
          <w:rFonts w:ascii="Arial" w:hAnsi="Arial" w:cs="Arial"/>
          <w:color w:val="000000"/>
          <w:sz w:val="22"/>
          <w:szCs w:val="22"/>
        </w:rPr>
        <w:t xml:space="preserve"> miliardo per la depurazione delle acque e circa 3,5 miliardi per la gestione dei rifiuti) è</w:t>
      </w:r>
      <w:r w:rsidRPr="006D4F9B">
        <w:rPr>
          <w:rFonts w:ascii="Arial" w:hAnsi="Arial" w:cs="Arial"/>
          <w:color w:val="000000"/>
          <w:sz w:val="22"/>
          <w:szCs w:val="22"/>
        </w:rPr>
        <w:t xml:space="preserve"> rappresentata dalla spesa delle Amministrazioni </w:t>
      </w:r>
      <w:r w:rsidR="009B706C">
        <w:rPr>
          <w:rFonts w:ascii="Arial" w:hAnsi="Arial" w:cs="Arial"/>
          <w:color w:val="000000"/>
          <w:sz w:val="22"/>
          <w:szCs w:val="22"/>
        </w:rPr>
        <w:t>p</w:t>
      </w:r>
      <w:r w:rsidRPr="006D4F9B">
        <w:rPr>
          <w:rFonts w:ascii="Arial" w:hAnsi="Arial" w:cs="Arial"/>
          <w:color w:val="000000"/>
          <w:sz w:val="22"/>
          <w:szCs w:val="22"/>
        </w:rPr>
        <w:t xml:space="preserve">ubbliche, costituita da consumi collettivi delle </w:t>
      </w:r>
      <w:r w:rsidR="009B706C">
        <w:rPr>
          <w:rFonts w:ascii="Arial" w:hAnsi="Arial" w:cs="Arial"/>
          <w:color w:val="000000"/>
          <w:sz w:val="22"/>
          <w:szCs w:val="22"/>
        </w:rPr>
        <w:t>Amministrazioni p</w:t>
      </w:r>
      <w:r w:rsidR="00DE1C28" w:rsidRPr="006D4F9B">
        <w:rPr>
          <w:rFonts w:ascii="Arial" w:hAnsi="Arial" w:cs="Arial"/>
          <w:color w:val="000000"/>
          <w:sz w:val="22"/>
          <w:szCs w:val="22"/>
        </w:rPr>
        <w:t>ubbliche</w:t>
      </w:r>
      <w:r w:rsidRPr="006D4F9B">
        <w:rPr>
          <w:rFonts w:ascii="Arial" w:hAnsi="Arial" w:cs="Arial"/>
          <w:color w:val="000000"/>
          <w:sz w:val="22"/>
          <w:szCs w:val="22"/>
        </w:rPr>
        <w:t xml:space="preserve">, da acquisti dei servizi in questione e da investimenti di operatori pubblici. </w:t>
      </w:r>
    </w:p>
    <w:p w14:paraId="12E26169" w14:textId="4805E41F" w:rsidR="006D4F9B" w:rsidRPr="006D4F9B" w:rsidRDefault="006D4F9B" w:rsidP="00DE1C28">
      <w:pPr>
        <w:spacing w:after="120"/>
        <w:jc w:val="both"/>
        <w:rPr>
          <w:rFonts w:ascii="Arial" w:hAnsi="Arial" w:cs="Arial"/>
          <w:color w:val="000000"/>
          <w:sz w:val="22"/>
          <w:szCs w:val="22"/>
        </w:rPr>
      </w:pPr>
      <w:r w:rsidRPr="006D4F9B">
        <w:rPr>
          <w:rFonts w:ascii="Arial" w:hAnsi="Arial" w:cs="Arial"/>
          <w:color w:val="000000"/>
          <w:sz w:val="22"/>
          <w:szCs w:val="22"/>
        </w:rPr>
        <w:t>Per le attività di protezione dell’ambiente diverse dalla gestione delle acque reflue e dei rifiuti complessivamente c</w:t>
      </w:r>
      <w:r w:rsidR="009B706C">
        <w:rPr>
          <w:rFonts w:ascii="Arial" w:hAnsi="Arial" w:cs="Arial"/>
          <w:color w:val="000000"/>
          <w:sz w:val="22"/>
          <w:szCs w:val="22"/>
        </w:rPr>
        <w:t>onsiderate, le Amministrazioni p</w:t>
      </w:r>
      <w:r w:rsidRPr="006D4F9B">
        <w:rPr>
          <w:rFonts w:ascii="Arial" w:hAnsi="Arial" w:cs="Arial"/>
          <w:color w:val="000000"/>
          <w:sz w:val="22"/>
          <w:szCs w:val="22"/>
        </w:rPr>
        <w:t>ubbliche contribuiscono per oltre il 60% alla spesa complessiva, seg</w:t>
      </w:r>
      <w:r w:rsidR="000D57A2">
        <w:rPr>
          <w:rFonts w:ascii="Arial" w:hAnsi="Arial" w:cs="Arial"/>
          <w:color w:val="000000"/>
          <w:sz w:val="22"/>
          <w:szCs w:val="22"/>
        </w:rPr>
        <w:t>uono</w:t>
      </w:r>
      <w:r w:rsidRPr="006D4F9B">
        <w:rPr>
          <w:rFonts w:ascii="Arial" w:hAnsi="Arial" w:cs="Arial"/>
          <w:color w:val="000000"/>
          <w:sz w:val="22"/>
          <w:szCs w:val="22"/>
        </w:rPr>
        <w:t xml:space="preserve"> le imprese, che coprono il 36% circa del totale. </w:t>
      </w:r>
    </w:p>
    <w:p w14:paraId="11BFA50E" w14:textId="2E230363" w:rsidR="006D4F9B" w:rsidRPr="006D4F9B" w:rsidRDefault="006D4F9B" w:rsidP="00DE1C28">
      <w:pPr>
        <w:spacing w:after="120"/>
        <w:jc w:val="both"/>
        <w:rPr>
          <w:rFonts w:ascii="Arial" w:hAnsi="Arial" w:cs="Arial"/>
          <w:color w:val="000000"/>
          <w:sz w:val="22"/>
          <w:szCs w:val="22"/>
        </w:rPr>
      </w:pPr>
      <w:r w:rsidRPr="006D4F9B">
        <w:rPr>
          <w:rFonts w:ascii="Arial" w:hAnsi="Arial" w:cs="Arial"/>
          <w:color w:val="000000"/>
          <w:sz w:val="22"/>
          <w:szCs w:val="22"/>
        </w:rPr>
        <w:t xml:space="preserve">La spesa nazionale comprende anche i trasferimenti al Resto </w:t>
      </w:r>
      <w:r w:rsidR="009B706C" w:rsidRPr="006D4F9B">
        <w:rPr>
          <w:rFonts w:ascii="Arial" w:hAnsi="Arial" w:cs="Arial"/>
          <w:color w:val="000000"/>
          <w:sz w:val="22"/>
          <w:szCs w:val="22"/>
        </w:rPr>
        <w:t>del mondo</w:t>
      </w:r>
      <w:r w:rsidRPr="006D4F9B">
        <w:rPr>
          <w:rFonts w:ascii="Arial" w:hAnsi="Arial" w:cs="Arial"/>
          <w:color w:val="000000"/>
          <w:sz w:val="22"/>
          <w:szCs w:val="22"/>
        </w:rPr>
        <w:t>, quali ad esempio i contributi a meccanismi finanziari connessi ad accordi internazionali per la protezione dell’ambiente, al netto dei finanziamenti ricevuti. Questi ultimi prevalgono nei due anni considerati, determinando un saldo negativo.</w:t>
      </w:r>
    </w:p>
    <w:p w14:paraId="4BDCD303" w14:textId="77777777" w:rsidR="00F951DF" w:rsidRDefault="00F951DF" w:rsidP="00DE1C28">
      <w:pPr>
        <w:spacing w:after="120"/>
        <w:jc w:val="both"/>
        <w:rPr>
          <w:rFonts w:ascii="Arial" w:hAnsi="Arial" w:cs="Arial"/>
          <w:sz w:val="22"/>
          <w:szCs w:val="22"/>
        </w:rPr>
      </w:pPr>
    </w:p>
    <w:p w14:paraId="3705A8EA" w14:textId="77777777" w:rsidR="00F951DF" w:rsidRDefault="00F951DF" w:rsidP="00DE1C28">
      <w:pPr>
        <w:spacing w:after="120"/>
        <w:jc w:val="both"/>
        <w:rPr>
          <w:rFonts w:ascii="Arial" w:hAnsi="Arial" w:cs="Arial"/>
          <w:sz w:val="22"/>
          <w:szCs w:val="22"/>
        </w:rPr>
      </w:pPr>
    </w:p>
    <w:p w14:paraId="781A5197" w14:textId="77777777" w:rsidR="00F951DF" w:rsidRDefault="00F951DF" w:rsidP="00DE1C28">
      <w:pPr>
        <w:spacing w:after="120"/>
        <w:jc w:val="both"/>
        <w:rPr>
          <w:rFonts w:ascii="Arial" w:hAnsi="Arial" w:cs="Arial"/>
          <w:sz w:val="22"/>
          <w:szCs w:val="22"/>
        </w:rPr>
      </w:pPr>
    </w:p>
    <w:p w14:paraId="46DBF6E3" w14:textId="77777777" w:rsidR="00F951DF" w:rsidRDefault="00F951DF" w:rsidP="00DE1C28">
      <w:pPr>
        <w:spacing w:after="120"/>
        <w:jc w:val="both"/>
        <w:rPr>
          <w:rFonts w:ascii="Arial" w:hAnsi="Arial" w:cs="Arial"/>
          <w:sz w:val="22"/>
          <w:szCs w:val="22"/>
        </w:rPr>
      </w:pPr>
    </w:p>
    <w:p w14:paraId="007113B3" w14:textId="282F17C9" w:rsidR="00F951DF" w:rsidRDefault="00F951DF" w:rsidP="00DE1C28">
      <w:pPr>
        <w:spacing w:after="120"/>
        <w:jc w:val="both"/>
        <w:rPr>
          <w:rFonts w:ascii="Arial" w:hAnsi="Arial" w:cs="Arial"/>
          <w:sz w:val="22"/>
          <w:szCs w:val="22"/>
        </w:rPr>
      </w:pPr>
    </w:p>
    <w:p w14:paraId="31B03DAE" w14:textId="5681BDC1" w:rsidR="00E73277" w:rsidRPr="00CE7D0F" w:rsidRDefault="00E73277" w:rsidP="00DE1C28">
      <w:pPr>
        <w:spacing w:after="120"/>
        <w:jc w:val="both"/>
        <w:rPr>
          <w:rFonts w:ascii="Arial" w:hAnsi="Arial" w:cs="Arial"/>
          <w:sz w:val="40"/>
          <w:szCs w:val="40"/>
        </w:rPr>
      </w:pPr>
    </w:p>
    <w:p w14:paraId="786C9FAB" w14:textId="77DD7A71" w:rsidR="005F4281" w:rsidRDefault="0005041B" w:rsidP="00DE1C28">
      <w:pPr>
        <w:tabs>
          <w:tab w:val="left" w:pos="900"/>
        </w:tabs>
        <w:rPr>
          <w:rFonts w:ascii="Arial Narrow" w:hAnsi="Arial Narrow"/>
          <w:iCs/>
          <w:noProof/>
          <w:color w:val="1F497D" w:themeColor="text2"/>
        </w:rPr>
      </w:pPr>
      <w:r>
        <w:rPr>
          <w:rFonts w:ascii="Arial Black" w:hAnsi="Arial Black" w:cs="Arial"/>
          <w:iCs/>
          <w:noProof/>
          <w:color w:val="1F497D" w:themeColor="text2"/>
          <w:sz w:val="22"/>
          <w:szCs w:val="22"/>
        </w:rPr>
        <w:t xml:space="preserve">FIGURA </w:t>
      </w:r>
      <w:r w:rsidR="002B47CC">
        <w:rPr>
          <w:rFonts w:ascii="Arial Black" w:hAnsi="Arial Black" w:cs="Arial"/>
          <w:iCs/>
          <w:noProof/>
          <w:color w:val="1F497D" w:themeColor="text2"/>
          <w:sz w:val="22"/>
          <w:szCs w:val="22"/>
        </w:rPr>
        <w:t>6.</w:t>
      </w:r>
      <w:r w:rsidR="004A2498" w:rsidRPr="008373BE">
        <w:rPr>
          <w:rFonts w:ascii="Arial Narrow" w:hAnsi="Arial Narrow" w:cs="Arial"/>
          <w:b/>
          <w:iCs/>
          <w:noProof/>
          <w:color w:val="1F497D" w:themeColor="text2"/>
          <w:sz w:val="22"/>
          <w:szCs w:val="22"/>
        </w:rPr>
        <w:t xml:space="preserve"> </w:t>
      </w:r>
      <w:r w:rsidR="006D4F9B" w:rsidRPr="00784B0B">
        <w:rPr>
          <w:rFonts w:ascii="Arial Narrow" w:hAnsi="Arial Narrow"/>
          <w:b/>
          <w:iCs/>
          <w:caps/>
          <w:noProof/>
          <w:color w:val="1F497D" w:themeColor="text2"/>
        </w:rPr>
        <w:t>Spesa nazionale per la protezione dell’ambiente per finalità ambientale e settore istituzionale</w:t>
      </w:r>
      <w:r w:rsidR="006D4F9B">
        <w:rPr>
          <w:rFonts w:ascii="Arial Narrow" w:hAnsi="Arial Narrow"/>
          <w:b/>
          <w:iCs/>
          <w:caps/>
          <w:noProof/>
          <w:color w:val="1F497D" w:themeColor="text2"/>
        </w:rPr>
        <w:t xml:space="preserve">. </w:t>
      </w:r>
      <w:r w:rsidR="006D4F9B" w:rsidRPr="004D7DEF">
        <w:rPr>
          <w:rFonts w:ascii="Arial Narrow" w:hAnsi="Arial Narrow"/>
          <w:iCs/>
          <w:noProof/>
          <w:color w:val="1F497D" w:themeColor="text2"/>
        </w:rPr>
        <w:t>Anni 2019-2020</w:t>
      </w:r>
      <w:r w:rsidR="006D4F9B">
        <w:rPr>
          <w:rFonts w:ascii="Arial Narrow" w:hAnsi="Arial Narrow"/>
          <w:iCs/>
          <w:noProof/>
          <w:color w:val="1F497D" w:themeColor="text2"/>
        </w:rPr>
        <w:t>,</w:t>
      </w:r>
      <w:r w:rsidR="006D4F9B" w:rsidRPr="004D7DEF">
        <w:rPr>
          <w:rFonts w:ascii="Arial Narrow" w:hAnsi="Arial Narrow"/>
          <w:iCs/>
          <w:noProof/>
          <w:color w:val="1F497D" w:themeColor="text2"/>
        </w:rPr>
        <w:t xml:space="preserve"> miliardi di euro</w:t>
      </w:r>
    </w:p>
    <w:p w14:paraId="06AF35CB" w14:textId="77777777" w:rsidR="00CC39D3" w:rsidRDefault="00CC39D3" w:rsidP="00DE1C28">
      <w:pPr>
        <w:tabs>
          <w:tab w:val="left" w:pos="900"/>
        </w:tabs>
        <w:rPr>
          <w:rFonts w:ascii="Arial Narrow" w:hAnsi="Arial Narrow"/>
          <w:iCs/>
          <w:noProof/>
          <w:color w:val="1F497D" w:themeColor="text2"/>
        </w:rPr>
      </w:pPr>
    </w:p>
    <w:p w14:paraId="653A9A79" w14:textId="2F0E8C5B" w:rsidR="00CC39D3" w:rsidRDefault="00AB1EA3" w:rsidP="00DE1C28">
      <w:pPr>
        <w:tabs>
          <w:tab w:val="left" w:pos="900"/>
        </w:tabs>
        <w:rPr>
          <w:rFonts w:ascii="Arial Narrow" w:hAnsi="Arial Narrow"/>
          <w:iCs/>
          <w:noProof/>
          <w:color w:val="1F497D" w:themeColor="text2"/>
        </w:rPr>
      </w:pPr>
      <w:r>
        <w:rPr>
          <w:rFonts w:ascii="Arial Narrow" w:hAnsi="Arial Narrow"/>
          <w:iCs/>
          <w:noProof/>
          <w:color w:val="1F497D" w:themeColor="text2"/>
        </w:rPr>
        <w:fldChar w:fldCharType="begin"/>
      </w:r>
      <w:r>
        <w:rPr>
          <w:rFonts w:ascii="Arial Narrow" w:hAnsi="Arial Narrow"/>
          <w:iCs/>
          <w:noProof/>
          <w:color w:val="1F497D" w:themeColor="text2"/>
        </w:rPr>
        <w:instrText xml:space="preserve"> LINK Excel.Sheet.12 "D:\\ISTAT\\Editing report\\Statistica report economia e ambiente\\Economia e ambiente_FIGURE.xlsx!Figura 7 - spesa![Economia e ambiente_FIGURE.xlsx]Figura 7 - spesa Grafico 1" "" \a \p </w:instrText>
      </w:r>
      <w:r>
        <w:rPr>
          <w:rFonts w:ascii="Arial Narrow" w:hAnsi="Arial Narrow"/>
          <w:iCs/>
          <w:noProof/>
          <w:color w:val="1F497D" w:themeColor="text2"/>
        </w:rPr>
        <w:fldChar w:fldCharType="separate"/>
      </w:r>
      <w:r w:rsidR="00B7452B">
        <w:rPr>
          <w:rFonts w:ascii="Arial Narrow" w:hAnsi="Arial Narrow"/>
          <w:iCs/>
          <w:noProof/>
          <w:color w:val="1F497D" w:themeColor="text2"/>
        </w:rPr>
        <w:object w:dxaOrig="9900" w:dyaOrig="3360" w14:anchorId="63752034">
          <v:shape id="_x0000_i1032" type="#_x0000_t75" style="width:498pt;height:166.5pt" o:ole="">
            <v:imagedata r:id="rId23" o:title=""/>
          </v:shape>
        </w:object>
      </w:r>
      <w:r>
        <w:rPr>
          <w:rFonts w:ascii="Arial Narrow" w:hAnsi="Arial Narrow"/>
          <w:iCs/>
          <w:noProof/>
          <w:color w:val="1F497D" w:themeColor="text2"/>
        </w:rPr>
        <w:fldChar w:fldCharType="end"/>
      </w:r>
    </w:p>
    <w:p w14:paraId="14EED5DC" w14:textId="67E56A76" w:rsidR="00B74FF7" w:rsidRPr="00A16A64" w:rsidRDefault="006D4F9B" w:rsidP="00E6741E">
      <w:pPr>
        <w:rPr>
          <w:rFonts w:ascii="Arial Narrow" w:hAnsi="Arial Narrow" w:cs="Arial"/>
          <w:sz w:val="15"/>
          <w:szCs w:val="15"/>
        </w:rPr>
      </w:pPr>
      <w:r w:rsidRPr="006D4F9B">
        <w:rPr>
          <w:rFonts w:ascii="Arial" w:hAnsi="Arial" w:cs="Arial"/>
          <w:sz w:val="15"/>
          <w:szCs w:val="15"/>
        </w:rPr>
        <w:t xml:space="preserve">Fonte: Istat, Conti ambientali - Conto della spesa per la protezione dell’ambiente </w:t>
      </w:r>
      <w:r w:rsidR="006C4E16">
        <w:rPr>
          <w:rFonts w:ascii="Arial Narrow" w:hAnsi="Arial Narrow"/>
          <w:sz w:val="15"/>
          <w:szCs w:val="15"/>
        </w:rPr>
        <w:br w:type="page"/>
      </w:r>
    </w:p>
    <w:p w14:paraId="298F1C6F" w14:textId="77777777" w:rsidR="00B74FF7" w:rsidRPr="00BB489E" w:rsidRDefault="00B74FF7" w:rsidP="00B74FF7">
      <w:pPr>
        <w:tabs>
          <w:tab w:val="left" w:pos="1380"/>
        </w:tabs>
        <w:rPr>
          <w:highlight w:val="yellow"/>
        </w:rPr>
        <w:sectPr w:rsidR="00B74FF7" w:rsidRPr="00BB489E" w:rsidSect="002261D9">
          <w:headerReference w:type="default" r:id="rId24"/>
          <w:footerReference w:type="default" r:id="rId25"/>
          <w:pgSz w:w="11906" w:h="16838" w:code="9"/>
          <w:pgMar w:top="567" w:right="992" w:bottom="714" w:left="992" w:header="0" w:footer="0" w:gutter="0"/>
          <w:cols w:space="430"/>
          <w:docGrid w:linePitch="360"/>
        </w:sectPr>
      </w:pPr>
    </w:p>
    <w:p w14:paraId="4608F7A1" w14:textId="77777777" w:rsidR="00BF4257" w:rsidRDefault="00BF4257" w:rsidP="006A503F">
      <w:pPr>
        <w:autoSpaceDE w:val="0"/>
        <w:autoSpaceDN w:val="0"/>
        <w:adjustRightInd w:val="0"/>
        <w:spacing w:after="120"/>
        <w:jc w:val="both"/>
        <w:outlineLvl w:val="0"/>
        <w:rPr>
          <w:rFonts w:ascii="Georgia" w:hAnsi="Georgia" w:cs="Arial"/>
          <w:color w:val="1F497D" w:themeColor="text2"/>
          <w:sz w:val="48"/>
          <w:szCs w:val="48"/>
        </w:rPr>
      </w:pPr>
    </w:p>
    <w:p w14:paraId="1A8F803B" w14:textId="38CA5AC5" w:rsidR="00015D71" w:rsidRPr="00DC5A69" w:rsidRDefault="00015D71" w:rsidP="006A503F">
      <w:pPr>
        <w:autoSpaceDE w:val="0"/>
        <w:autoSpaceDN w:val="0"/>
        <w:adjustRightInd w:val="0"/>
        <w:spacing w:after="120"/>
        <w:jc w:val="both"/>
        <w:outlineLvl w:val="0"/>
        <w:rPr>
          <w:rFonts w:ascii="Georgia" w:hAnsi="Georgia" w:cs="Arial"/>
          <w:color w:val="1F497D"/>
          <w:sz w:val="48"/>
          <w:szCs w:val="48"/>
        </w:rPr>
      </w:pPr>
      <w:r w:rsidRPr="00DC5A69">
        <w:rPr>
          <w:rFonts w:ascii="Georgia" w:hAnsi="Georgia" w:cs="Arial"/>
          <w:color w:val="1F497D"/>
          <w:sz w:val="48"/>
          <w:szCs w:val="48"/>
        </w:rPr>
        <w:t>Glossario</w:t>
      </w:r>
    </w:p>
    <w:p w14:paraId="77AA7E38" w14:textId="3C44BD65" w:rsidR="00A014B9" w:rsidRPr="009536BA" w:rsidRDefault="00A014B9" w:rsidP="006A503F">
      <w:pPr>
        <w:pStyle w:val="Nessunaspaziatura"/>
      </w:pPr>
      <w:r w:rsidRPr="009536BA">
        <w:rPr>
          <w:b/>
          <w:color w:val="1F497D" w:themeColor="text2"/>
        </w:rPr>
        <w:t>Acidificazione:</w:t>
      </w:r>
      <w:r w:rsidRPr="009536BA">
        <w:t xml:space="preserve"> </w:t>
      </w:r>
      <w:r w:rsidR="00A35518">
        <w:t xml:space="preserve">fenomeno determinato </w:t>
      </w:r>
      <w:r w:rsidR="00A35518" w:rsidRPr="009536BA">
        <w:t xml:space="preserve">della deposizione sul terreno e nei corpi idrici di </w:t>
      </w:r>
      <w:r w:rsidR="00A35518">
        <w:t>a</w:t>
      </w:r>
      <w:r w:rsidRPr="009536BA">
        <w:t>lcuni gas</w:t>
      </w:r>
      <w:r w:rsidR="00A35518" w:rsidRPr="009536BA">
        <w:t>, di origine naturale e antropica</w:t>
      </w:r>
      <w:r w:rsidR="00A35518">
        <w:t>,</w:t>
      </w:r>
      <w:r w:rsidR="00A35518" w:rsidRPr="009536BA">
        <w:t xml:space="preserve"> </w:t>
      </w:r>
      <w:r w:rsidRPr="009536BA">
        <w:t>presenti in atmosfera. Queste deposizioni</w:t>
      </w:r>
      <w:r w:rsidR="00A35518">
        <w:t xml:space="preserve">, che si verificano </w:t>
      </w:r>
      <w:r w:rsidR="00A35518" w:rsidRPr="009536BA">
        <w:t>soprattutto attraverso le precipitazioni atmosferiche</w:t>
      </w:r>
      <w:r w:rsidR="00A35518">
        <w:t xml:space="preserve">, </w:t>
      </w:r>
      <w:r w:rsidRPr="009536BA">
        <w:t>danneggiano i sistemi di acqua dolce, le foreste, i suoli e gli ecosistemi naturali sensibili all’acidità. Le principali emissioni atmosferiche che contribuiscono al fenomeno sono gli ossidi di azoto (NO</w:t>
      </w:r>
      <w:r w:rsidRPr="009536BA">
        <w:rPr>
          <w:vertAlign w:val="subscript"/>
        </w:rPr>
        <w:t>x</w:t>
      </w:r>
      <w:r w:rsidRPr="009536BA">
        <w:t>), gli ossidi di zolfo (SO</w:t>
      </w:r>
      <w:r w:rsidRPr="009536BA">
        <w:rPr>
          <w:vertAlign w:val="subscript"/>
        </w:rPr>
        <w:t>x</w:t>
      </w:r>
      <w:r w:rsidRPr="009536BA">
        <w:t>) e l’ammoniaca (NH</w:t>
      </w:r>
      <w:r w:rsidRPr="009536BA">
        <w:rPr>
          <w:vertAlign w:val="subscript"/>
        </w:rPr>
        <w:t>3</w:t>
      </w:r>
      <w:r w:rsidRPr="009536BA">
        <w:t>). Per aggregare le emissioni di tali inquinanti si tiene conto del diverso potenziale di acido equivalente (</w:t>
      </w:r>
      <w:r w:rsidRPr="00A35518">
        <w:rPr>
          <w:i/>
          <w:iCs/>
        </w:rPr>
        <w:t>Potential Acid Equivalent</w:t>
      </w:r>
      <w:r w:rsidR="008B268F">
        <w:t xml:space="preserve">, </w:t>
      </w:r>
      <w:r w:rsidRPr="009536BA">
        <w:t>PAE) di ciascuno di essi, ossia della quantità di ioni idrogeno che si formerebbe per ogni gas se la sua deposizione fosse completa, pervenendo cosi a una comune unità di misura; i coefficienti utilizzati per ottenere la misurazione in tonnellate di “potenziale acido equivalente” (ton PAE) sono i seguenti: 1/46 per NO</w:t>
      </w:r>
      <w:r w:rsidRPr="00F0548B">
        <w:rPr>
          <w:vertAlign w:val="subscript"/>
        </w:rPr>
        <w:t>x</w:t>
      </w:r>
      <w:r w:rsidRPr="009536BA">
        <w:t>; 1/32 per SO</w:t>
      </w:r>
      <w:r w:rsidRPr="00F0548B">
        <w:rPr>
          <w:vertAlign w:val="subscript"/>
        </w:rPr>
        <w:t>x</w:t>
      </w:r>
      <w:r w:rsidRPr="009536BA">
        <w:t>; 1/17 per NH</w:t>
      </w:r>
      <w:r w:rsidRPr="00F0548B">
        <w:rPr>
          <w:vertAlign w:val="subscript"/>
        </w:rPr>
        <w:t>3</w:t>
      </w:r>
      <w:r w:rsidRPr="009536BA">
        <w:t xml:space="preserve">. </w:t>
      </w:r>
    </w:p>
    <w:p w14:paraId="62B925C0" w14:textId="3EB9F9B0" w:rsidR="00A014B9" w:rsidRPr="009536BA" w:rsidRDefault="00A014B9" w:rsidP="006A503F">
      <w:pPr>
        <w:pStyle w:val="Nessunaspaziatura"/>
      </w:pPr>
      <w:r w:rsidRPr="009536BA">
        <w:rPr>
          <w:b/>
          <w:color w:val="1F497D" w:themeColor="text2"/>
        </w:rPr>
        <w:t xml:space="preserve">Attività economica: </w:t>
      </w:r>
      <w:r w:rsidR="00FD4550">
        <w:t>a</w:t>
      </w:r>
      <w:r w:rsidRPr="009536BA">
        <w:t>ttività di produzione di beni o servizi che ha luogo quando risorse quali lavoro, impianti e materie prime concorrono all’ottenimento di beni o alla prestazione di servizi. Un’attività economica è caratterizzata dall’uso di fattori della produzione, da un processo di produzione e da uno o più prodotti ottenuti (merci o prestazioni di servizi). Ai fini della produzione dell’informazione statistica, le attività economiche sono classificate secondo la classificazione Ateco 2007 (coerente con la nomenclatura europea Nace Rev. 2).</w:t>
      </w:r>
    </w:p>
    <w:p w14:paraId="73EA16E1" w14:textId="7FACAEA0" w:rsidR="00A014B9" w:rsidRPr="009536BA" w:rsidRDefault="00A014B9" w:rsidP="006A503F">
      <w:pPr>
        <w:pStyle w:val="Nessunaspaziatura"/>
      </w:pPr>
      <w:r w:rsidRPr="009536BA">
        <w:rPr>
          <w:b/>
          <w:color w:val="1F497D" w:themeColor="text2"/>
        </w:rPr>
        <w:t xml:space="preserve">Biomasse e prodotti derivati: </w:t>
      </w:r>
      <w:r w:rsidR="00FD4550">
        <w:t>c</w:t>
      </w:r>
      <w:r w:rsidRPr="009536BA">
        <w:t>omprendono le biomasse per l’alimentazione umana, foraggi per gli allevamenti, animali e pesce, prodotti trasformati, legname e prodotti a base di legno e altri prodotti costituiti prevalentemente da biomassa.</w:t>
      </w:r>
    </w:p>
    <w:p w14:paraId="767CB7A9" w14:textId="27A9271C" w:rsidR="00A014B9" w:rsidRPr="009536BA" w:rsidRDefault="00A014B9" w:rsidP="006A503F">
      <w:pPr>
        <w:pStyle w:val="Nessunaspaziatura"/>
      </w:pPr>
      <w:r w:rsidRPr="009536BA">
        <w:rPr>
          <w:b/>
          <w:color w:val="1F497D" w:themeColor="text2"/>
        </w:rPr>
        <w:t xml:space="preserve">Classificazione </w:t>
      </w:r>
      <w:r w:rsidR="0020267C" w:rsidRPr="009536BA">
        <w:rPr>
          <w:b/>
          <w:color w:val="1F497D" w:themeColor="text2"/>
        </w:rPr>
        <w:t>Cepa</w:t>
      </w:r>
      <w:r w:rsidRPr="009536BA">
        <w:t xml:space="preserve">: </w:t>
      </w:r>
      <w:r w:rsidR="00FF6E9F">
        <w:t>c</w:t>
      </w:r>
      <w:r w:rsidRPr="009536BA">
        <w:t>lassificazione delle attività e delle spese per la protezione dell’ambiente; comprende tutte le attività e azioni il cui obiettivo principale è la prevenzione, la riduzione e l'eliminazione dell'inquinamento e di ogni altra forma di degrado ambientale. Si articola nelle seguenti voci principali: 1. protezione dell’aria e del clima; 2. gestione delle acque reflue; 3. gestione dei rifiuti; 4. protezione del suolo e delle acque del sottosuolo; 5. abbattimento del rumore e delle vibrazioni; 6. protezione della biodiversità e del paesaggio; 7. protezione dalle radiazioni; 8. ricerca e sviluppo per la protezione dell’ambiente; 9. altre attività di protezione dell’ambiente.</w:t>
      </w:r>
    </w:p>
    <w:p w14:paraId="299ECD66" w14:textId="6779A408" w:rsidR="00A014B9" w:rsidRPr="009536BA" w:rsidRDefault="00A014B9" w:rsidP="006A503F">
      <w:pPr>
        <w:pStyle w:val="Nessunaspaziatura"/>
      </w:pPr>
      <w:r w:rsidRPr="009536BA">
        <w:rPr>
          <w:b/>
          <w:color w:val="1F497D" w:themeColor="text2"/>
        </w:rPr>
        <w:t xml:space="preserve">Classificazione </w:t>
      </w:r>
      <w:r w:rsidR="0020267C" w:rsidRPr="009536BA">
        <w:rPr>
          <w:b/>
          <w:color w:val="1F497D" w:themeColor="text2"/>
        </w:rPr>
        <w:t>Crema</w:t>
      </w:r>
      <w:r w:rsidRPr="009536BA">
        <w:t xml:space="preserve">: </w:t>
      </w:r>
      <w:r w:rsidR="00FF6E9F">
        <w:t>c</w:t>
      </w:r>
      <w:r w:rsidRPr="009536BA">
        <w:t>lassificazione delle attività per la gestione delle risorse naturali; comprende tutte le attività e azioni il cui obiettivo principale è la conservazione, il mantenimento e il miglioramento dello stock di risorse naturali e, pertanto, la tutela di tali risorse da fenomeni di esaurimento. Si articola nelle seguenti voci principali: 10. Gestione delle acque, 11. Gestione delle risorse forestali, 12. Gestione della fauna e della flora selvatiche, 13. Gestione delle risorse energetiche (13A. Produzione di energia da fonti rinnovabili, 13B. Gestione e risparmio di energia/calore, 13C. Riduzione dell'utilizzo delle energie fossili come materie prime), 14. Gestione dei minerali, 15. Attività di ricerca e sviluppo in materia di gestione delle risorse, 16. Altre attività di gestione delle risorse.</w:t>
      </w:r>
    </w:p>
    <w:p w14:paraId="4C3A9766" w14:textId="220F212A" w:rsidR="00A014B9" w:rsidRPr="009536BA" w:rsidRDefault="00A014B9" w:rsidP="006A503F">
      <w:pPr>
        <w:pStyle w:val="Nessunaspaziatura"/>
      </w:pPr>
      <w:r w:rsidRPr="009536BA">
        <w:rPr>
          <w:b/>
          <w:color w:val="1F497D" w:themeColor="text2"/>
        </w:rPr>
        <w:t>Consumo materiale interno (</w:t>
      </w:r>
      <w:r w:rsidRPr="009536BA">
        <w:rPr>
          <w:b/>
          <w:i/>
          <w:color w:val="1F497D" w:themeColor="text2"/>
        </w:rPr>
        <w:t>Domestic material consumption - Dmc</w:t>
      </w:r>
      <w:r w:rsidRPr="009536BA">
        <w:rPr>
          <w:b/>
          <w:color w:val="1F497D" w:themeColor="text2"/>
        </w:rPr>
        <w:t xml:space="preserve">): </w:t>
      </w:r>
      <w:r w:rsidR="00FF6E9F">
        <w:t>a</w:t>
      </w:r>
      <w:r w:rsidRPr="009536BA">
        <w:t>ggregato dei conti dei flussi di materia</w:t>
      </w:r>
      <w:r w:rsidRPr="009536BA">
        <w:rPr>
          <w:b/>
          <w:color w:val="1F497D" w:themeColor="text2"/>
        </w:rPr>
        <w:t xml:space="preserve"> </w:t>
      </w:r>
      <w:r w:rsidRPr="009536BA">
        <w:t>che equivale alla somma di Estrazione interna e Importazioni al netto delle Esportazioni.</w:t>
      </w:r>
    </w:p>
    <w:p w14:paraId="7ECEF99F" w14:textId="297A57A8" w:rsidR="00A014B9" w:rsidRPr="009536BA" w:rsidRDefault="00A014B9" w:rsidP="006A503F">
      <w:pPr>
        <w:pStyle w:val="Nessunaspaziatura"/>
      </w:pPr>
      <w:r w:rsidRPr="009536BA">
        <w:rPr>
          <w:b/>
          <w:color w:val="1F497D" w:themeColor="text2"/>
        </w:rPr>
        <w:t>Conto dei beni e servizi ambientali</w:t>
      </w:r>
      <w:r w:rsidRPr="009536BA">
        <w:rPr>
          <w:rFonts w:eastAsia="Arial"/>
          <w:b/>
        </w:rPr>
        <w:t xml:space="preserve">: </w:t>
      </w:r>
      <w:r w:rsidR="00FF6E9F">
        <w:t>r</w:t>
      </w:r>
      <w:r w:rsidRPr="009536BA">
        <w:t xml:space="preserve">egistra e presenta dati sulle attività di produzione che generano prodotti ambientali. I prodotti ambientali comprendono beni e servizi realizzati per scopi di protezione dell'ambiente e di gestione delle risorse. La protezione dell'ambiente comprende tutte le attività e azioni il cui obiettivo principale è la prevenzione, la riduzione e l'eliminazione dell'inquinamento e di ogni altra forma di degrado ambientale (cfr. Classificazione </w:t>
      </w:r>
      <w:r w:rsidR="0020267C" w:rsidRPr="009536BA">
        <w:t>Cepa</w:t>
      </w:r>
      <w:r w:rsidRPr="009536BA">
        <w:t xml:space="preserve">). La gestione delle risorse comprende la conservazione, il mantenimento e il miglioramento dello stock di risorse naturali e, pertanto, la tutela di tali risorse da fenomeni di esaurimento (cfr. Classificazione </w:t>
      </w:r>
      <w:r w:rsidR="0020267C" w:rsidRPr="009536BA">
        <w:t>Crema</w:t>
      </w:r>
      <w:r w:rsidRPr="009536BA">
        <w:t xml:space="preserve">). </w:t>
      </w:r>
    </w:p>
    <w:p w14:paraId="654B333C" w14:textId="42809D42" w:rsidR="00A014B9" w:rsidRPr="009536BA" w:rsidRDefault="00A014B9" w:rsidP="006A503F">
      <w:pPr>
        <w:pStyle w:val="Nessunaspaziatura"/>
      </w:pPr>
      <w:r w:rsidRPr="009536BA">
        <w:rPr>
          <w:b/>
          <w:color w:val="1F497D" w:themeColor="text2"/>
        </w:rPr>
        <w:t>Conti dei flussi di materia</w:t>
      </w:r>
      <w:r w:rsidRPr="009536BA">
        <w:rPr>
          <w:rFonts w:eastAsia="Arial"/>
          <w:b/>
        </w:rPr>
        <w:t xml:space="preserve">: </w:t>
      </w:r>
      <w:r w:rsidR="009E6465">
        <w:t>r</w:t>
      </w:r>
      <w:r w:rsidRPr="009536BA">
        <w:t>egistrano e presentano misurazioni relative agli scambi fisici (in unità di massa) del sistema socioeconomico italiano co</w:t>
      </w:r>
      <w:r w:rsidR="007565EF">
        <w:t>n il sistema naturale e con il R</w:t>
      </w:r>
      <w:r w:rsidRPr="009536BA">
        <w:t>esto del mondo. Sono inclusi tutti i materiali diversi dall'acqua e dall'aria. I prodotti primari frutto dell'estrazione interna e tutti i prodotti - grezzi, semilavorati e finiti - importati ed esportati sono classificati per tipo di materiale.</w:t>
      </w:r>
    </w:p>
    <w:p w14:paraId="10F962FC" w14:textId="2137AEC0" w:rsidR="00A014B9" w:rsidRPr="009536BA" w:rsidRDefault="00A014B9" w:rsidP="006A503F">
      <w:pPr>
        <w:pStyle w:val="Nessunaspaziatura"/>
      </w:pPr>
      <w:r w:rsidRPr="009536BA">
        <w:rPr>
          <w:b/>
          <w:color w:val="1F497D" w:themeColor="text2"/>
        </w:rPr>
        <w:t>Conti dei flussi fisici di energia</w:t>
      </w:r>
      <w:r w:rsidRPr="009536BA">
        <w:rPr>
          <w:rFonts w:eastAsia="Arial"/>
          <w:b/>
        </w:rPr>
        <w:t xml:space="preserve">: </w:t>
      </w:r>
      <w:r w:rsidR="009E6465">
        <w:t>r</w:t>
      </w:r>
      <w:r w:rsidRPr="009536BA">
        <w:t>egistrano e presentano i flussi di energia dall'ambiente verso l</w:t>
      </w:r>
      <w:r w:rsidR="009E6465">
        <w:t>’</w:t>
      </w:r>
      <w:r w:rsidRPr="009536BA">
        <w:t xml:space="preserve">economia, all'interno dell'economia e dall'economia verso l'ambiente, espressi in </w:t>
      </w:r>
      <w:r w:rsidR="009E6465">
        <w:t>t</w:t>
      </w:r>
      <w:r w:rsidRPr="009536BA">
        <w:t>erajoule, distinguendo risorse naturali, prodotti e residui energetici. Per ciascun flusso di energia, l'offerta (risorse) è registrata secondo l'origine e la domanda (impieghi) secondo la destinazione attraverso uno schema matriciale basato sulla struttura delle tavole delle Risorse e degli Impieghi proprie dei conti nazionali monetari.</w:t>
      </w:r>
    </w:p>
    <w:p w14:paraId="4A571D63" w14:textId="4752E358" w:rsidR="00A014B9" w:rsidRPr="009536BA" w:rsidRDefault="00A014B9" w:rsidP="006A503F">
      <w:pPr>
        <w:pStyle w:val="Nessunaspaziatura"/>
      </w:pPr>
      <w:r w:rsidRPr="009536BA">
        <w:rPr>
          <w:b/>
          <w:color w:val="1F497D" w:themeColor="text2"/>
        </w:rPr>
        <w:t>Conti della spesa per la protezione dell’ambiente</w:t>
      </w:r>
      <w:r w:rsidRPr="009536BA">
        <w:t xml:space="preserve">: </w:t>
      </w:r>
      <w:r w:rsidR="00965EA3">
        <w:t>r</w:t>
      </w:r>
      <w:r w:rsidRPr="009536BA">
        <w:t>egistrano e presentano dati sulle risorse economiche destinate alla protezione dell'ambiente dalle unità residenti secondo l’articolazione della Classificazione delle attività per la protezione dell’ambiente (</w:t>
      </w:r>
      <w:r w:rsidR="0020267C" w:rsidRPr="009536BA">
        <w:t>Cepa</w:t>
      </w:r>
      <w:r w:rsidRPr="009536BA">
        <w:t>; cfr. voce del Glossario).</w:t>
      </w:r>
    </w:p>
    <w:p w14:paraId="0B0F2F84" w14:textId="22EB3A03" w:rsidR="00A014B9" w:rsidRPr="009536BA" w:rsidRDefault="00A014B9" w:rsidP="006A503F">
      <w:pPr>
        <w:pStyle w:val="Nessunaspaziatura"/>
      </w:pPr>
      <w:r w:rsidRPr="009536BA">
        <w:rPr>
          <w:b/>
          <w:color w:val="1F497D" w:themeColor="text2"/>
        </w:rPr>
        <w:t>Conti delle emissioni atmosferiche</w:t>
      </w:r>
      <w:r w:rsidRPr="009536BA">
        <w:rPr>
          <w:rFonts w:eastAsia="Arial"/>
          <w:b/>
        </w:rPr>
        <w:t xml:space="preserve">: </w:t>
      </w:r>
      <w:r w:rsidR="00965EA3">
        <w:t>r</w:t>
      </w:r>
      <w:r w:rsidRPr="009536BA">
        <w:t xml:space="preserve">egistrano e presentano le emissioni di gas climalteranti, sostanze acidificanti, precursori dell’ozono troposferico, particolato e metalli pesanti, prodotte dalle attività produttive e dalle </w:t>
      </w:r>
      <w:r w:rsidRPr="009536BA">
        <w:lastRenderedPageBreak/>
        <w:t xml:space="preserve">famiglie residenti in Italia, secondo la classificazione delle attività economiche utilizzata nelle tavole delle Risorse e degli Impieghi dell’economia italiana. </w:t>
      </w:r>
    </w:p>
    <w:p w14:paraId="609E988B" w14:textId="730F08A5" w:rsidR="00A014B9" w:rsidRPr="009536BA" w:rsidRDefault="00A014B9" w:rsidP="006A503F">
      <w:pPr>
        <w:pStyle w:val="Nessunaspaziatura"/>
      </w:pPr>
      <w:r w:rsidRPr="009536BA">
        <w:rPr>
          <w:b/>
          <w:color w:val="1F497D" w:themeColor="text2"/>
        </w:rPr>
        <w:t>Conti economici dell’ambiente/contabilità ambientale</w:t>
      </w:r>
      <w:r w:rsidRPr="009536BA">
        <w:rPr>
          <w:rFonts w:eastAsia="Arial"/>
          <w:b/>
        </w:rPr>
        <w:t xml:space="preserve">: </w:t>
      </w:r>
      <w:r w:rsidR="00965EA3">
        <w:t>s</w:t>
      </w:r>
      <w:r w:rsidRPr="009536BA">
        <w:t>istema di conti satellite che rappresentano l’interazione tra economia e ambiente in coerenza con i conti economici nazionali e con i principi delineati dallo standard statistico internazionale “Sistema di contabilità integrata ambientale ed econom</w:t>
      </w:r>
      <w:r w:rsidR="00042C40">
        <w:t>ica” (Seea 2012). Ai sensi del Regolamento Ue</w:t>
      </w:r>
      <w:r w:rsidRPr="009536BA">
        <w:t xml:space="preserve"> N. 691/2011 relativo ai conti economici ambientali (emendato dal Reg. Ue N. 538/2014 del 16 aprile 2014 e dal Reg. delegato Ue 2022/125 della Commissione del 19 novembre 2021), è obbligatoria per gli Istituti di Statistica della Ue la produzione di sei conti ambientali: tre conti in unità fisiche (flussi di materia, flussi fisici di energia, emissioni atmosferiche) e tre conti in unità monetarie (spese per la protezione dell’ambiente, gettito delle imposte ambientali, beni e servizi ambientali). L’Istat produce e diffonde regolarmente i sei conti obbligatori</w:t>
      </w:r>
      <w:r w:rsidRPr="009536BA">
        <w:rPr>
          <w:rFonts w:eastAsia="Arial"/>
          <w:b/>
        </w:rPr>
        <w:t>.</w:t>
      </w:r>
      <w:r w:rsidRPr="009536BA">
        <w:t xml:space="preserve"> </w:t>
      </w:r>
    </w:p>
    <w:p w14:paraId="3F4EF22D" w14:textId="54ECDEC1" w:rsidR="00A014B9" w:rsidRPr="009536BA" w:rsidRDefault="00A014B9" w:rsidP="006A503F">
      <w:pPr>
        <w:pStyle w:val="Nessunaspaziatura"/>
      </w:pPr>
      <w:r w:rsidRPr="009536BA">
        <w:rPr>
          <w:b/>
          <w:color w:val="1F497D" w:themeColor="text2"/>
        </w:rPr>
        <w:t xml:space="preserve">Consumo di </w:t>
      </w:r>
      <w:r w:rsidR="003E1676">
        <w:rPr>
          <w:b/>
          <w:color w:val="1F497D" w:themeColor="text2"/>
        </w:rPr>
        <w:t>E</w:t>
      </w:r>
      <w:r w:rsidRPr="009536BA">
        <w:rPr>
          <w:b/>
          <w:color w:val="1F497D" w:themeColor="text2"/>
        </w:rPr>
        <w:t>nergia delle unità residenti (</w:t>
      </w:r>
      <w:r w:rsidRPr="009536BA">
        <w:rPr>
          <w:b/>
          <w:i/>
          <w:color w:val="1F497D" w:themeColor="text2"/>
        </w:rPr>
        <w:t xml:space="preserve">Net domestic energy use - </w:t>
      </w:r>
      <w:r w:rsidR="00645970" w:rsidRPr="009536BA">
        <w:rPr>
          <w:b/>
          <w:i/>
          <w:color w:val="1F497D" w:themeColor="text2"/>
        </w:rPr>
        <w:t>Ndeu</w:t>
      </w:r>
      <w:r w:rsidRPr="009536BA">
        <w:rPr>
          <w:b/>
          <w:color w:val="1F497D" w:themeColor="text2"/>
        </w:rPr>
        <w:t xml:space="preserve">): </w:t>
      </w:r>
      <w:r w:rsidR="00965EA3">
        <w:t>i</w:t>
      </w:r>
      <w:r w:rsidRPr="009536BA">
        <w:t>ndicatore derivato dai Conti dei flussi fisici di energia (</w:t>
      </w:r>
      <w:r w:rsidRPr="00A35518">
        <w:rPr>
          <w:i/>
          <w:iCs/>
        </w:rPr>
        <w:t xml:space="preserve">Physical </w:t>
      </w:r>
      <w:r w:rsidR="00042C40" w:rsidRPr="00A35518">
        <w:rPr>
          <w:i/>
          <w:iCs/>
        </w:rPr>
        <w:t>energy flow accounts</w:t>
      </w:r>
      <w:r w:rsidR="00965EA3">
        <w:t>,</w:t>
      </w:r>
      <w:r w:rsidRPr="009536BA">
        <w:t xml:space="preserve"> </w:t>
      </w:r>
      <w:r w:rsidR="0020267C" w:rsidRPr="009536BA">
        <w:t>Pefa</w:t>
      </w:r>
      <w:r w:rsidRPr="009536BA">
        <w:t>) che permette di valutare l’effettivo impiego energetico dei residenti a livello di intera economia. Esso rappresenta il consumo di energia al netto di quella che nei processi di trasformazione rimane incorporata nei prodotti derivati (è quindi scevro da doppi conteggi di energia); ossia esprime l’energia consumata e non più utilizzabile per altro scopo energetico includendo tutta l’energia dissipata (mediante combustione e non), tutti i tipi di perdita di energia e la quantità di energia utilizzata per scopi non energetici.</w:t>
      </w:r>
    </w:p>
    <w:p w14:paraId="52AD6E7B" w14:textId="4EBE4A16" w:rsidR="00A014B9" w:rsidRPr="009536BA" w:rsidRDefault="00A014B9" w:rsidP="002E3672">
      <w:pPr>
        <w:pStyle w:val="Nessunaspaziatura"/>
      </w:pPr>
      <w:r w:rsidRPr="009536BA">
        <w:rPr>
          <w:b/>
          <w:color w:val="1F497D" w:themeColor="text2"/>
        </w:rPr>
        <w:t xml:space="preserve">Gas climalteranti: </w:t>
      </w:r>
      <w:r w:rsidR="00965EA3">
        <w:t>a</w:t>
      </w:r>
      <w:r w:rsidRPr="009536BA">
        <w:t>lcuni gas presenti in atmosfera, di origine naturale e antropica, assorbono ed emettono la radiazione infrarossa a specifiche lunghezze d’onda determinando il fenomeno detto “effetto serra”. Sono inclusi anidride carbonica (CO</w:t>
      </w:r>
      <w:r w:rsidRPr="000B3F9B">
        <w:rPr>
          <w:vertAlign w:val="subscript"/>
        </w:rPr>
        <w:t>2</w:t>
      </w:r>
      <w:r w:rsidRPr="009536BA">
        <w:t>), metano (CH</w:t>
      </w:r>
      <w:r w:rsidRPr="00042C40">
        <w:rPr>
          <w:vertAlign w:val="subscript"/>
        </w:rPr>
        <w:t>4</w:t>
      </w:r>
      <w:r w:rsidRPr="009536BA">
        <w:t>), protossido di azoto (N</w:t>
      </w:r>
      <w:r w:rsidRPr="000B3F9B">
        <w:rPr>
          <w:vertAlign w:val="subscript"/>
        </w:rPr>
        <w:t>2</w:t>
      </w:r>
      <w:r w:rsidRPr="009536BA">
        <w:t>O), idrofluorocarburi (HFC), perfluorocarburi (PFC), esafluoruro di zolfo (SF</w:t>
      </w:r>
      <w:r w:rsidRPr="000B3F9B">
        <w:rPr>
          <w:vertAlign w:val="subscript"/>
        </w:rPr>
        <w:t>6</w:t>
      </w:r>
      <w:r w:rsidRPr="009536BA">
        <w:t>) e trifluoruro di azoto (NF</w:t>
      </w:r>
      <w:r w:rsidRPr="000B3F9B">
        <w:rPr>
          <w:vertAlign w:val="subscript"/>
        </w:rPr>
        <w:t>3</w:t>
      </w:r>
      <w:r w:rsidRPr="009536BA">
        <w:t>). I “gas serra” consentono alle radiazioni solari di passare attraverso l’atmosfera e ostacolano il passaggio verso lo spazio di parte delle radiazioni infrarosse provenienti dalla superficie della Terra, contribuendo in tal modo al riscaldamento del pianeta. Ognuno di questi gas ha un proprio specifico potenziale di riscaldamento. Per calcolare le emissioni a effetto serra complessive, le quantità relative alle emissioni dei singoli inquinanti vengono convertite in “tonnellate di CO</w:t>
      </w:r>
      <w:r w:rsidRPr="00042C40">
        <w:rPr>
          <w:vertAlign w:val="subscript"/>
        </w:rPr>
        <w:t>2</w:t>
      </w:r>
      <w:r w:rsidRPr="009536BA">
        <w:t xml:space="preserve"> equivalente”, ottenute moltiplicando le emissioni di ogni gas per il proprio potenziale di riscaldamento globale </w:t>
      </w:r>
      <w:r w:rsidR="00E64C2D" w:rsidRPr="00D509DF">
        <w:t>–</w:t>
      </w:r>
      <w:r w:rsidRPr="009536BA">
        <w:t xml:space="preserve"> </w:t>
      </w:r>
      <w:r w:rsidRPr="00A35518">
        <w:rPr>
          <w:i/>
          <w:iCs/>
        </w:rPr>
        <w:t>Global warming potential</w:t>
      </w:r>
      <w:r w:rsidRPr="009536BA">
        <w:t xml:space="preserve"> (Gwp) </w:t>
      </w:r>
      <w:r w:rsidR="00E64C2D" w:rsidRPr="00D509DF">
        <w:t>–</w:t>
      </w:r>
      <w:r w:rsidRPr="009536BA">
        <w:t xml:space="preserve"> espresso in rapporto al potenziale di riscaldamento dell’anidride carbonica. A tal fine sono applicati i seguenti coefficienti: 1 per CO</w:t>
      </w:r>
      <w:r w:rsidRPr="000B3F9B">
        <w:rPr>
          <w:vertAlign w:val="subscript"/>
        </w:rPr>
        <w:t>2</w:t>
      </w:r>
      <w:r w:rsidRPr="009536BA">
        <w:t>; 298 per N</w:t>
      </w:r>
      <w:r w:rsidRPr="000B3F9B">
        <w:rPr>
          <w:vertAlign w:val="subscript"/>
        </w:rPr>
        <w:t>2</w:t>
      </w:r>
      <w:r w:rsidRPr="009536BA">
        <w:t>O; 25 per CH</w:t>
      </w:r>
      <w:r w:rsidRPr="000B3F9B">
        <w:rPr>
          <w:vertAlign w:val="subscript"/>
        </w:rPr>
        <w:t>4</w:t>
      </w:r>
      <w:r w:rsidRPr="009536BA">
        <w:t xml:space="preserve"> e pesi variabili in relazione agli specifici gas per HFC, PFC, SF</w:t>
      </w:r>
      <w:r w:rsidRPr="000B3F9B">
        <w:rPr>
          <w:vertAlign w:val="subscript"/>
        </w:rPr>
        <w:t>6</w:t>
      </w:r>
      <w:r w:rsidRPr="009536BA">
        <w:t xml:space="preserve"> e NF</w:t>
      </w:r>
      <w:r w:rsidRPr="000B3F9B">
        <w:rPr>
          <w:vertAlign w:val="subscript"/>
        </w:rPr>
        <w:t>3</w:t>
      </w:r>
      <w:r w:rsidRPr="009536BA">
        <w:t>.</w:t>
      </w:r>
    </w:p>
    <w:p w14:paraId="62743F1F" w14:textId="19FD70F5" w:rsidR="00A014B9" w:rsidRPr="00A35518" w:rsidRDefault="00A014B9" w:rsidP="00A35518">
      <w:pPr>
        <w:spacing w:after="120"/>
        <w:jc w:val="both"/>
        <w:rPr>
          <w:rFonts w:ascii="Arial" w:eastAsiaTheme="minorHAnsi" w:hAnsi="Arial" w:cs="Arial"/>
          <w:sz w:val="20"/>
          <w:szCs w:val="20"/>
          <w:lang w:eastAsia="en-US"/>
        </w:rPr>
      </w:pPr>
      <w:r w:rsidRPr="00A35518">
        <w:rPr>
          <w:rFonts w:ascii="Arial" w:hAnsi="Arial" w:cs="Arial"/>
          <w:b/>
          <w:bCs/>
          <w:color w:val="1F497D" w:themeColor="text2"/>
          <w:sz w:val="20"/>
          <w:szCs w:val="20"/>
        </w:rPr>
        <w:t>Esportazioni (flussi di materia):</w:t>
      </w:r>
      <w:r w:rsidRPr="00A35518">
        <w:rPr>
          <w:rFonts w:ascii="Arial" w:hAnsi="Arial" w:cs="Arial"/>
          <w:color w:val="002060"/>
          <w:sz w:val="20"/>
          <w:szCs w:val="20"/>
        </w:rPr>
        <w:t xml:space="preserve"> </w:t>
      </w:r>
      <w:r w:rsidR="002E3672">
        <w:rPr>
          <w:rFonts w:ascii="Arial" w:eastAsiaTheme="minorHAnsi" w:hAnsi="Arial" w:cs="Arial"/>
          <w:sz w:val="20"/>
          <w:szCs w:val="20"/>
          <w:lang w:eastAsia="en-US"/>
        </w:rPr>
        <w:t>c</w:t>
      </w:r>
      <w:r w:rsidRPr="00A35518">
        <w:rPr>
          <w:rFonts w:ascii="Arial" w:eastAsiaTheme="minorHAnsi" w:hAnsi="Arial" w:cs="Arial"/>
          <w:sz w:val="20"/>
          <w:szCs w:val="20"/>
          <w:lang w:eastAsia="en-US"/>
        </w:rPr>
        <w:t>omprendono il materiale esportato verso altri contesti territoriali o economie. Si considera il peso delle merci che attraversano il confine e – nel solo caso del livello nazionale – gli acquisti diretti effettuati in Italia dalle unità residenti all’estero.</w:t>
      </w:r>
    </w:p>
    <w:p w14:paraId="20A66B52" w14:textId="2AE315C3" w:rsidR="00A014B9" w:rsidRPr="009536BA" w:rsidRDefault="00A014B9" w:rsidP="002E3672">
      <w:pPr>
        <w:pStyle w:val="Nessunaspaziatura"/>
      </w:pPr>
      <w:r w:rsidRPr="009536BA">
        <w:rPr>
          <w:b/>
          <w:color w:val="1F497D" w:themeColor="text2"/>
        </w:rPr>
        <w:t xml:space="preserve">Estrazione interna: </w:t>
      </w:r>
      <w:r w:rsidR="00E64C2D">
        <w:t>a</w:t>
      </w:r>
      <w:r w:rsidRPr="009536BA">
        <w:t>ggregato dei conti dei flussi di materia</w:t>
      </w:r>
      <w:r w:rsidRPr="009536BA">
        <w:rPr>
          <w:b/>
          <w:color w:val="1F497D" w:themeColor="text2"/>
        </w:rPr>
        <w:t xml:space="preserve"> </w:t>
      </w:r>
      <w:r w:rsidRPr="009536BA">
        <w:t>che comprende le risorse naturali estratte all’interno del territorio e direttamente utilizzate.</w:t>
      </w:r>
    </w:p>
    <w:p w14:paraId="2B6FE136" w14:textId="60E61B3A" w:rsidR="00A014B9" w:rsidRPr="009536BA" w:rsidRDefault="00A014B9" w:rsidP="002E3672">
      <w:pPr>
        <w:pStyle w:val="Nessunaspaziatura"/>
      </w:pPr>
      <w:r w:rsidRPr="009536BA">
        <w:rPr>
          <w:b/>
          <w:color w:val="1F497D" w:themeColor="text2"/>
        </w:rPr>
        <w:t>Flussi netti dall’estero (</w:t>
      </w:r>
      <w:r w:rsidRPr="009536BA">
        <w:rPr>
          <w:b/>
          <w:i/>
          <w:color w:val="1F497D" w:themeColor="text2"/>
        </w:rPr>
        <w:t>Physical trade balance</w:t>
      </w:r>
      <w:r w:rsidR="00E64C2D">
        <w:rPr>
          <w:b/>
          <w:i/>
          <w:color w:val="1F497D" w:themeColor="text2"/>
        </w:rPr>
        <w:t>,</w:t>
      </w:r>
      <w:r w:rsidRPr="00A35518">
        <w:rPr>
          <w:b/>
          <w:iCs/>
          <w:color w:val="1F497D" w:themeColor="text2"/>
        </w:rPr>
        <w:t xml:space="preserve"> Ptb</w:t>
      </w:r>
      <w:r w:rsidRPr="009536BA">
        <w:rPr>
          <w:b/>
          <w:color w:val="1F497D" w:themeColor="text2"/>
        </w:rPr>
        <w:t xml:space="preserve">): </w:t>
      </w:r>
      <w:r w:rsidR="00E64C2D">
        <w:t>a</w:t>
      </w:r>
      <w:r w:rsidRPr="009536BA">
        <w:t>ggregato dei conti dei flussi di materia</w:t>
      </w:r>
      <w:r w:rsidRPr="009536BA">
        <w:rPr>
          <w:b/>
          <w:color w:val="1F497D" w:themeColor="text2"/>
        </w:rPr>
        <w:t xml:space="preserve"> </w:t>
      </w:r>
      <w:r w:rsidRPr="009536BA">
        <w:t>dato da Importazioni meno Esportazioni.</w:t>
      </w:r>
    </w:p>
    <w:p w14:paraId="7E1FA5D6" w14:textId="1D782480" w:rsidR="00A014B9" w:rsidRPr="009536BA" w:rsidRDefault="00A014B9" w:rsidP="006A503F">
      <w:pPr>
        <w:pStyle w:val="Nessunaspaziatura"/>
      </w:pPr>
      <w:r w:rsidRPr="009536BA">
        <w:rPr>
          <w:b/>
          <w:color w:val="1F497D" w:themeColor="text2"/>
        </w:rPr>
        <w:t xml:space="preserve">Gestione dei rifiuti: </w:t>
      </w:r>
      <w:r w:rsidR="005267D1">
        <w:t>s</w:t>
      </w:r>
      <w:r w:rsidRPr="009536BA">
        <w:t>econdo la Classificazione delle attività e delle spese per la protezione dell’ambiente (</w:t>
      </w:r>
      <w:r w:rsidR="00107A68" w:rsidRPr="009536BA">
        <w:t>Cepa</w:t>
      </w:r>
      <w:r w:rsidRPr="009536BA">
        <w:t>) sono incluse le attività di prevenzione della produzione di rifiuti; raccolta, trasporto e smaltimento dei rifiuti; monitoraggio e controllo, regolamentazione e amministrazione, informazione e comunicazione in materia di rifiuti.</w:t>
      </w:r>
    </w:p>
    <w:p w14:paraId="1F29FF0D" w14:textId="005A4191" w:rsidR="00A014B9" w:rsidRPr="009536BA" w:rsidRDefault="00A014B9" w:rsidP="005267D1">
      <w:pPr>
        <w:pStyle w:val="Nessunaspaziatura"/>
      </w:pPr>
      <w:r w:rsidRPr="009536BA">
        <w:rPr>
          <w:b/>
          <w:color w:val="1F497D" w:themeColor="text2"/>
        </w:rPr>
        <w:t xml:space="preserve">Gestione delle acque reflue: </w:t>
      </w:r>
      <w:r w:rsidR="005267D1">
        <w:t>s</w:t>
      </w:r>
      <w:r w:rsidRPr="009536BA">
        <w:t>econdo la Classificazione delle attività e delle spese per la protezione dell’ambiente (</w:t>
      </w:r>
      <w:r w:rsidR="00107A68" w:rsidRPr="009536BA">
        <w:t>Cepa</w:t>
      </w:r>
      <w:r w:rsidRPr="009536BA">
        <w:t>) sono incluse le attività di: prevenzione dell’inquinamento idrico; raccolta e depurazione delle acque reflue; monitoraggio e controllo, regolamentazione e amministrazione, informazione e comunicazione in materia di acque reflue.</w:t>
      </w:r>
    </w:p>
    <w:p w14:paraId="292A5663" w14:textId="5D50449A" w:rsidR="00A014B9" w:rsidRPr="00A35518" w:rsidRDefault="00A014B9" w:rsidP="00A35518">
      <w:pPr>
        <w:spacing w:after="120"/>
        <w:jc w:val="both"/>
        <w:rPr>
          <w:rFonts w:ascii="Arial" w:eastAsiaTheme="minorHAnsi" w:hAnsi="Arial" w:cs="Arial"/>
          <w:sz w:val="20"/>
          <w:szCs w:val="20"/>
          <w:lang w:eastAsia="en-US"/>
        </w:rPr>
      </w:pPr>
      <w:r w:rsidRPr="00A35518">
        <w:rPr>
          <w:rFonts w:ascii="Arial" w:hAnsi="Arial" w:cs="Arial"/>
          <w:b/>
          <w:bCs/>
          <w:color w:val="1F497D" w:themeColor="text2"/>
          <w:sz w:val="20"/>
          <w:szCs w:val="20"/>
        </w:rPr>
        <w:t>Importazioni (flussi di materia):</w:t>
      </w:r>
      <w:r w:rsidRPr="00A35518">
        <w:rPr>
          <w:rFonts w:ascii="Arial" w:hAnsi="Arial" w:cs="Arial"/>
          <w:color w:val="002060"/>
          <w:sz w:val="20"/>
          <w:szCs w:val="20"/>
        </w:rPr>
        <w:t xml:space="preserve"> </w:t>
      </w:r>
      <w:r w:rsidR="005267D1">
        <w:rPr>
          <w:rFonts w:ascii="Arial" w:eastAsiaTheme="minorHAnsi" w:hAnsi="Arial" w:cs="Arial"/>
          <w:sz w:val="20"/>
          <w:szCs w:val="20"/>
          <w:lang w:eastAsia="en-US"/>
        </w:rPr>
        <w:t>c</w:t>
      </w:r>
      <w:r w:rsidRPr="00A35518">
        <w:rPr>
          <w:rFonts w:ascii="Arial" w:eastAsiaTheme="minorHAnsi" w:hAnsi="Arial" w:cs="Arial"/>
          <w:sz w:val="20"/>
          <w:szCs w:val="20"/>
          <w:lang w:eastAsia="en-US"/>
        </w:rPr>
        <w:t>omprendono il materiale importato da altri contesti territoriali o economie. Si considera il peso delle merci che attraversano il confine e – nel solo caso del livello nazionale – gli acquisti diretti effettuati all’estero dalle unità residenti in Italia.</w:t>
      </w:r>
    </w:p>
    <w:p w14:paraId="5840E470" w14:textId="77777777" w:rsidR="00A014B9" w:rsidRPr="00A35518" w:rsidRDefault="00A014B9" w:rsidP="00A35518">
      <w:pPr>
        <w:spacing w:after="120"/>
        <w:jc w:val="both"/>
        <w:rPr>
          <w:rFonts w:ascii="Arial" w:eastAsiaTheme="minorHAnsi" w:hAnsi="Arial" w:cs="Arial"/>
          <w:sz w:val="20"/>
          <w:szCs w:val="20"/>
          <w:lang w:eastAsia="en-US"/>
        </w:rPr>
      </w:pPr>
      <w:r w:rsidRPr="00A35518">
        <w:rPr>
          <w:rFonts w:ascii="Arial" w:hAnsi="Arial" w:cs="Arial"/>
          <w:b/>
          <w:bCs/>
          <w:color w:val="1F497D" w:themeColor="text2"/>
          <w:sz w:val="20"/>
          <w:szCs w:val="20"/>
        </w:rPr>
        <w:t>Imposta:</w:t>
      </w:r>
      <w:r w:rsidRPr="00A35518">
        <w:rPr>
          <w:rFonts w:ascii="Arial" w:hAnsi="Arial" w:cs="Arial"/>
          <w:color w:val="002060"/>
          <w:sz w:val="20"/>
          <w:szCs w:val="20"/>
        </w:rPr>
        <w:t xml:space="preserve"> </w:t>
      </w:r>
      <w:r w:rsidRPr="00A35518">
        <w:rPr>
          <w:rFonts w:ascii="Arial" w:eastAsiaTheme="minorHAnsi" w:hAnsi="Arial" w:cs="Arial"/>
          <w:sz w:val="20"/>
          <w:szCs w:val="20"/>
          <w:lang w:eastAsia="en-US"/>
        </w:rPr>
        <w:t>prelievo obbligatorio non commisurato al beneficio che il singolo riceve dall’azione delle amministrazioni pubbliche.</w:t>
      </w:r>
    </w:p>
    <w:p w14:paraId="4C8879AC" w14:textId="05EEFF50" w:rsidR="00A014B9" w:rsidRDefault="00A014B9" w:rsidP="00A35518">
      <w:pPr>
        <w:spacing w:after="120"/>
        <w:jc w:val="both"/>
        <w:rPr>
          <w:rFonts w:ascii="Arial" w:eastAsiaTheme="minorHAnsi" w:hAnsi="Arial" w:cs="Arial"/>
          <w:sz w:val="20"/>
          <w:szCs w:val="20"/>
          <w:lang w:eastAsia="en-US"/>
        </w:rPr>
      </w:pPr>
      <w:r w:rsidRPr="00A35518">
        <w:rPr>
          <w:rFonts w:ascii="Arial" w:hAnsi="Arial" w:cs="Arial"/>
          <w:b/>
          <w:bCs/>
          <w:color w:val="1F497D" w:themeColor="text2"/>
          <w:sz w:val="20"/>
          <w:szCs w:val="20"/>
        </w:rPr>
        <w:t>Imposte ambientali:</w:t>
      </w:r>
      <w:r w:rsidRPr="00A35518">
        <w:rPr>
          <w:rFonts w:ascii="Arial" w:hAnsi="Arial" w:cs="Arial"/>
          <w:color w:val="002060"/>
          <w:sz w:val="20"/>
          <w:szCs w:val="20"/>
        </w:rPr>
        <w:t xml:space="preserve"> </w:t>
      </w:r>
      <w:r w:rsidRPr="00A35518">
        <w:rPr>
          <w:rFonts w:ascii="Arial" w:eastAsiaTheme="minorHAnsi" w:hAnsi="Arial" w:cs="Arial"/>
          <w:sz w:val="20"/>
          <w:szCs w:val="20"/>
          <w:lang w:eastAsia="en-US"/>
        </w:rPr>
        <w:t>Imposte la cui base impositiva è costituita da una grandezza fisica che ha un impatto negativo provato e specifico sull’ambiente.</w:t>
      </w:r>
      <w:r w:rsidRPr="00A35518">
        <w:rPr>
          <w:rFonts w:ascii="Arial" w:hAnsi="Arial" w:cs="Arial"/>
        </w:rPr>
        <w:t xml:space="preserve"> </w:t>
      </w:r>
      <w:r w:rsidRPr="00A35518">
        <w:rPr>
          <w:rFonts w:ascii="Arial" w:eastAsiaTheme="minorHAnsi" w:hAnsi="Arial" w:cs="Arial"/>
          <w:sz w:val="20"/>
          <w:szCs w:val="20"/>
          <w:lang w:eastAsia="en-US"/>
        </w:rPr>
        <w:t xml:space="preserve">Il gettito delle imposte ambientali è classificato secondo quattro categorie  energia, trasporti, inquinamento, risorse – e secondo il soggetto economico che lo corrisponde: attività produttive residenti, famiglie residenti e unità non residenti. </w:t>
      </w:r>
    </w:p>
    <w:p w14:paraId="3CC55A35" w14:textId="3AAB1BFC" w:rsidR="00C56096" w:rsidRPr="00A35518" w:rsidRDefault="00C56096" w:rsidP="00A35518">
      <w:pPr>
        <w:spacing w:after="120"/>
        <w:jc w:val="both"/>
        <w:rPr>
          <w:rFonts w:ascii="Arial" w:eastAsiaTheme="minorHAnsi" w:hAnsi="Arial" w:cs="Arial"/>
          <w:sz w:val="20"/>
          <w:szCs w:val="20"/>
          <w:lang w:eastAsia="en-US"/>
        </w:rPr>
      </w:pPr>
      <w:r w:rsidRPr="00A96DD6">
        <w:rPr>
          <w:rFonts w:ascii="Arial" w:hAnsi="Arial" w:cs="Arial"/>
          <w:b/>
          <w:bCs/>
          <w:color w:val="1F497D" w:themeColor="text2"/>
          <w:sz w:val="20"/>
          <w:szCs w:val="20"/>
        </w:rPr>
        <w:t>Intensità energetica</w:t>
      </w:r>
      <w:r>
        <w:rPr>
          <w:rFonts w:ascii="Arial" w:eastAsiaTheme="minorHAnsi" w:hAnsi="Arial" w:cs="Arial"/>
          <w:sz w:val="20"/>
          <w:szCs w:val="20"/>
          <w:lang w:eastAsia="en-US"/>
        </w:rPr>
        <w:t xml:space="preserve">: è misurata </w:t>
      </w:r>
      <w:r w:rsidR="000B3F9B" w:rsidRPr="000B3F9B">
        <w:rPr>
          <w:rFonts w:ascii="Arial" w:eastAsiaTheme="minorHAnsi" w:hAnsi="Arial" w:cs="Arial"/>
          <w:sz w:val="20"/>
          <w:szCs w:val="20"/>
          <w:lang w:eastAsia="en-US"/>
        </w:rPr>
        <w:t xml:space="preserve">rapportando il “Net domestic energy use” </w:t>
      </w:r>
      <w:r>
        <w:rPr>
          <w:rFonts w:ascii="Arial" w:eastAsiaTheme="minorHAnsi" w:hAnsi="Arial" w:cs="Arial"/>
          <w:sz w:val="20"/>
          <w:szCs w:val="20"/>
          <w:lang w:eastAsia="en-US"/>
        </w:rPr>
        <w:t>e</w:t>
      </w:r>
      <w:r w:rsidR="000B3F9B">
        <w:rPr>
          <w:rFonts w:ascii="Arial" w:eastAsiaTheme="minorHAnsi" w:hAnsi="Arial" w:cs="Arial"/>
          <w:sz w:val="20"/>
          <w:szCs w:val="20"/>
          <w:lang w:eastAsia="en-US"/>
        </w:rPr>
        <w:t>spresso in terajoule (unità di misura dell’energia</w:t>
      </w:r>
      <w:r w:rsidR="00A96DD6">
        <w:rPr>
          <w:rFonts w:ascii="Arial" w:eastAsiaTheme="minorHAnsi" w:hAnsi="Arial" w:cs="Arial"/>
          <w:sz w:val="20"/>
          <w:szCs w:val="20"/>
          <w:lang w:eastAsia="en-US"/>
        </w:rPr>
        <w:t>), al</w:t>
      </w:r>
      <w:r>
        <w:rPr>
          <w:rFonts w:ascii="Arial" w:eastAsiaTheme="minorHAnsi" w:hAnsi="Arial" w:cs="Arial"/>
          <w:sz w:val="20"/>
          <w:szCs w:val="20"/>
          <w:lang w:eastAsia="en-US"/>
        </w:rPr>
        <w:t xml:space="preserve"> </w:t>
      </w:r>
      <w:r w:rsidRPr="00C56096">
        <w:rPr>
          <w:rFonts w:ascii="Arial" w:eastAsiaTheme="minorHAnsi" w:hAnsi="Arial" w:cs="Arial"/>
          <w:sz w:val="20"/>
          <w:szCs w:val="20"/>
          <w:lang w:eastAsia="en-US"/>
        </w:rPr>
        <w:t>Pil</w:t>
      </w:r>
      <w:r>
        <w:rPr>
          <w:rFonts w:ascii="Arial" w:eastAsiaTheme="minorHAnsi" w:hAnsi="Arial" w:cs="Arial"/>
          <w:sz w:val="20"/>
          <w:szCs w:val="20"/>
          <w:lang w:eastAsia="en-US"/>
        </w:rPr>
        <w:t xml:space="preserve"> espresso a </w:t>
      </w:r>
      <w:r w:rsidRPr="00C56096">
        <w:rPr>
          <w:rFonts w:ascii="Arial" w:eastAsiaTheme="minorHAnsi" w:hAnsi="Arial" w:cs="Arial"/>
          <w:sz w:val="20"/>
          <w:szCs w:val="20"/>
          <w:lang w:eastAsia="en-US"/>
        </w:rPr>
        <w:t>valori concatenati con anno di riferimento 2015</w:t>
      </w:r>
      <w:r>
        <w:rPr>
          <w:rFonts w:ascii="Arial" w:eastAsiaTheme="minorHAnsi" w:hAnsi="Arial" w:cs="Arial"/>
          <w:sz w:val="20"/>
          <w:szCs w:val="20"/>
          <w:lang w:eastAsia="en-US"/>
        </w:rPr>
        <w:t xml:space="preserve">. </w:t>
      </w:r>
    </w:p>
    <w:p w14:paraId="2AB0A549" w14:textId="09794911" w:rsidR="00A014B9" w:rsidRPr="00A35518" w:rsidRDefault="00A014B9" w:rsidP="00A35518">
      <w:pPr>
        <w:spacing w:after="120"/>
        <w:jc w:val="both"/>
        <w:rPr>
          <w:rFonts w:ascii="Arial" w:hAnsi="Arial" w:cs="Arial"/>
          <w:color w:val="000000"/>
          <w:sz w:val="20"/>
          <w:szCs w:val="20"/>
        </w:rPr>
      </w:pPr>
      <w:r w:rsidRPr="00A35518">
        <w:rPr>
          <w:rFonts w:ascii="Arial" w:hAnsi="Arial" w:cs="Arial"/>
          <w:b/>
          <w:bCs/>
          <w:color w:val="1F497D" w:themeColor="text2"/>
          <w:sz w:val="20"/>
          <w:szCs w:val="20"/>
        </w:rPr>
        <w:t>Minerali energetici e prodotti derivati:</w:t>
      </w:r>
      <w:r w:rsidRPr="00A35518">
        <w:rPr>
          <w:rFonts w:ascii="Arial" w:hAnsi="Arial" w:cs="Arial"/>
          <w:color w:val="002060"/>
          <w:sz w:val="20"/>
          <w:szCs w:val="20"/>
        </w:rPr>
        <w:t xml:space="preserve"> </w:t>
      </w:r>
      <w:r w:rsidR="005267D1">
        <w:rPr>
          <w:rFonts w:ascii="Arial" w:hAnsi="Arial" w:cs="Arial"/>
          <w:sz w:val="20"/>
          <w:szCs w:val="20"/>
        </w:rPr>
        <w:t>c</w:t>
      </w:r>
      <w:r w:rsidRPr="00A35518">
        <w:rPr>
          <w:rFonts w:ascii="Arial" w:hAnsi="Arial" w:cs="Arial"/>
          <w:sz w:val="20"/>
          <w:szCs w:val="20"/>
        </w:rPr>
        <w:t>omprendono carbone, petrolio, gas, altri combustibili fossili e altri prodotti costituiti prevalentemente da minerali energetici</w:t>
      </w:r>
      <w:r w:rsidRPr="00A35518">
        <w:rPr>
          <w:rFonts w:ascii="Arial" w:hAnsi="Arial" w:cs="Arial"/>
          <w:color w:val="000000"/>
          <w:sz w:val="20"/>
          <w:szCs w:val="20"/>
        </w:rPr>
        <w:t xml:space="preserve">. </w:t>
      </w:r>
    </w:p>
    <w:p w14:paraId="55C1A747" w14:textId="0CF4B824" w:rsidR="00A014B9" w:rsidRPr="00A35518" w:rsidRDefault="00A014B9" w:rsidP="00A35518">
      <w:pPr>
        <w:spacing w:after="120"/>
        <w:jc w:val="both"/>
        <w:rPr>
          <w:rFonts w:ascii="Arial" w:hAnsi="Arial" w:cs="Arial"/>
          <w:color w:val="000000"/>
          <w:sz w:val="20"/>
          <w:szCs w:val="20"/>
        </w:rPr>
      </w:pPr>
      <w:r w:rsidRPr="00A35518">
        <w:rPr>
          <w:rFonts w:ascii="Arial" w:hAnsi="Arial" w:cs="Arial"/>
          <w:b/>
          <w:bCs/>
          <w:color w:val="1F497D" w:themeColor="text2"/>
          <w:sz w:val="20"/>
          <w:szCs w:val="20"/>
        </w:rPr>
        <w:lastRenderedPageBreak/>
        <w:t>Minerali metalliferi e prodotti derivati:</w:t>
      </w:r>
      <w:r w:rsidRPr="00A35518">
        <w:rPr>
          <w:rFonts w:ascii="Arial" w:hAnsi="Arial" w:cs="Arial"/>
          <w:color w:val="002060"/>
          <w:sz w:val="20"/>
          <w:szCs w:val="20"/>
        </w:rPr>
        <w:t xml:space="preserve"> </w:t>
      </w:r>
      <w:r w:rsidR="005267D1">
        <w:rPr>
          <w:rFonts w:ascii="Arial" w:hAnsi="Arial" w:cs="Arial"/>
          <w:sz w:val="20"/>
          <w:szCs w:val="20"/>
        </w:rPr>
        <w:t>c</w:t>
      </w:r>
      <w:r w:rsidRPr="00A35518">
        <w:rPr>
          <w:rFonts w:ascii="Arial" w:hAnsi="Arial" w:cs="Arial"/>
          <w:sz w:val="20"/>
          <w:szCs w:val="20"/>
        </w:rPr>
        <w:t>omprendono minerali</w:t>
      </w:r>
      <w:r w:rsidRPr="00A35518">
        <w:rPr>
          <w:rFonts w:ascii="Arial" w:hAnsi="Arial" w:cs="Arial"/>
          <w:color w:val="000000"/>
          <w:sz w:val="20"/>
          <w:szCs w:val="20"/>
        </w:rPr>
        <w:t xml:space="preserve"> di ferro, rame, piombo e altri metalli, nonché altri prodotti costituiti prevalentemente da minerali metalliferi.</w:t>
      </w:r>
    </w:p>
    <w:p w14:paraId="013B2CC2" w14:textId="5D05AB12" w:rsidR="00A014B9" w:rsidRPr="00A35518" w:rsidRDefault="00A014B9" w:rsidP="00A35518">
      <w:pPr>
        <w:spacing w:after="120"/>
        <w:jc w:val="both"/>
        <w:rPr>
          <w:rFonts w:ascii="Arial" w:hAnsi="Arial" w:cs="Arial"/>
          <w:color w:val="000000"/>
          <w:sz w:val="20"/>
          <w:szCs w:val="20"/>
        </w:rPr>
      </w:pPr>
      <w:r w:rsidRPr="00A35518">
        <w:rPr>
          <w:rFonts w:ascii="Arial" w:hAnsi="Arial" w:cs="Arial"/>
          <w:b/>
          <w:bCs/>
          <w:color w:val="1F497D" w:themeColor="text2"/>
          <w:sz w:val="20"/>
          <w:szCs w:val="20"/>
        </w:rPr>
        <w:t>Minerali non metalliferi e prodotti derivati:</w:t>
      </w:r>
      <w:r w:rsidRPr="00A35518">
        <w:rPr>
          <w:rFonts w:ascii="Arial" w:hAnsi="Arial" w:cs="Arial"/>
          <w:color w:val="002060"/>
          <w:sz w:val="20"/>
          <w:szCs w:val="20"/>
        </w:rPr>
        <w:t xml:space="preserve"> </w:t>
      </w:r>
      <w:r w:rsidR="005267D1">
        <w:rPr>
          <w:rFonts w:ascii="Arial" w:hAnsi="Arial" w:cs="Arial"/>
          <w:sz w:val="20"/>
          <w:szCs w:val="20"/>
        </w:rPr>
        <w:t>c</w:t>
      </w:r>
      <w:r w:rsidRPr="00A35518">
        <w:rPr>
          <w:rFonts w:ascii="Arial" w:hAnsi="Arial" w:cs="Arial"/>
          <w:sz w:val="20"/>
          <w:szCs w:val="20"/>
        </w:rPr>
        <w:t>omprendono minerali da costruzione</w:t>
      </w:r>
      <w:r w:rsidRPr="00A35518">
        <w:rPr>
          <w:rFonts w:ascii="Arial" w:hAnsi="Arial" w:cs="Arial"/>
          <w:color w:val="000000"/>
          <w:sz w:val="20"/>
          <w:szCs w:val="20"/>
        </w:rPr>
        <w:t xml:space="preserve">, minerali industriali e </w:t>
      </w:r>
      <w:r w:rsidRPr="00A35518">
        <w:rPr>
          <w:rFonts w:ascii="Arial" w:hAnsi="Arial" w:cs="Arial"/>
          <w:sz w:val="20"/>
          <w:szCs w:val="20"/>
        </w:rPr>
        <w:t xml:space="preserve">altri prodotti costituiti prevalentemente da </w:t>
      </w:r>
      <w:r w:rsidRPr="00A35518">
        <w:rPr>
          <w:rFonts w:ascii="Arial" w:hAnsi="Arial" w:cs="Arial"/>
          <w:color w:val="000000"/>
          <w:sz w:val="20"/>
          <w:szCs w:val="20"/>
        </w:rPr>
        <w:t>minerali non metalliferi.</w:t>
      </w:r>
    </w:p>
    <w:p w14:paraId="5630B969" w14:textId="3D80BC3D" w:rsidR="00A014B9" w:rsidRPr="009536BA" w:rsidRDefault="00A014B9" w:rsidP="005267D1">
      <w:pPr>
        <w:pStyle w:val="Nessunaspaziatura"/>
      </w:pPr>
      <w:r w:rsidRPr="009536BA">
        <w:rPr>
          <w:b/>
          <w:color w:val="1F497D" w:themeColor="text2"/>
        </w:rPr>
        <w:t>Prezzo base</w:t>
      </w:r>
      <w:r w:rsidRPr="009536BA">
        <w:rPr>
          <w:rFonts w:eastAsia="Arial"/>
          <w:b/>
        </w:rPr>
        <w:t>:</w:t>
      </w:r>
      <w:r w:rsidRPr="00A35518">
        <w:rPr>
          <w:b/>
        </w:rPr>
        <w:t xml:space="preserve"> </w:t>
      </w:r>
      <w:r w:rsidR="00D02126">
        <w:t>m</w:t>
      </w:r>
      <w:r w:rsidRPr="009536BA">
        <w:t xml:space="preserve">isura l'ammontare effettivo ricevuto dal produttore. Include i contributi sui prodotti ed esclude le imposte sui prodotti ed ogni margine commerciale e di trasporto fatturato separatamente dal produttore. </w:t>
      </w:r>
    </w:p>
    <w:p w14:paraId="2645CE0F" w14:textId="0EC23CD1" w:rsidR="00A014B9" w:rsidRPr="009536BA" w:rsidRDefault="00A014B9" w:rsidP="005267D1">
      <w:pPr>
        <w:pStyle w:val="Nessunaspaziatura"/>
      </w:pPr>
      <w:r w:rsidRPr="009536BA">
        <w:rPr>
          <w:b/>
          <w:color w:val="1F497D" w:themeColor="text2"/>
        </w:rPr>
        <w:t>Prodotto interno lordo ai prezzi di mercato (Pil):</w:t>
      </w:r>
      <w:r w:rsidRPr="009536BA">
        <w:t xml:space="preserve"> </w:t>
      </w:r>
      <w:r w:rsidR="00D02126">
        <w:t>r</w:t>
      </w:r>
      <w:r w:rsidRPr="009536BA">
        <w:t>appresenta il risultato finale dell’attività di produzione delle unità produttrici residenti. Corrisponde alla produzione totale di beni e servizi dell’economia, diminuita dei consumi intermedi e aumentata dell’Iva gravante e delle imposte indirette sulle importazioni. È altresì pari alla somma del valore aggiunto a prezzi base delle varie branche di attività economica, aumentata delle imposte sui prodotti (compresa l’Iva e le imposte sulle importazioni), al netto dei contributi ai prodotti.</w:t>
      </w:r>
    </w:p>
    <w:p w14:paraId="5EFEDD61" w14:textId="67C07F2F" w:rsidR="00A014B9" w:rsidRPr="009536BA" w:rsidRDefault="00A014B9" w:rsidP="006A503F">
      <w:pPr>
        <w:pStyle w:val="Nessunaspaziatura"/>
      </w:pPr>
      <w:r w:rsidRPr="009536BA">
        <w:rPr>
          <w:b/>
          <w:color w:val="1F497D" w:themeColor="text2"/>
        </w:rPr>
        <w:t>Produzione</w:t>
      </w:r>
      <w:r w:rsidRPr="009536BA">
        <w:rPr>
          <w:rFonts w:eastAsia="Arial"/>
          <w:b/>
        </w:rPr>
        <w:t>:</w:t>
      </w:r>
      <w:r w:rsidRPr="00A35518">
        <w:t xml:space="preserve"> </w:t>
      </w:r>
      <w:r w:rsidR="00D02126">
        <w:t>r</w:t>
      </w:r>
      <w:r w:rsidRPr="009536BA">
        <w:t xml:space="preserve">isultato dell’attività economica svolta nel paese dalle unità residenti in un arco temporale determinato. Esistono diverse nozioni di produzione. Gli schemi standardizzati di contabilità nazionale prevedono la distinzione fra produzione </w:t>
      </w:r>
      <w:r w:rsidRPr="00A35518">
        <w:rPr>
          <w:i/>
          <w:iCs/>
        </w:rPr>
        <w:t>market</w:t>
      </w:r>
      <w:r w:rsidRPr="009536BA">
        <w:t xml:space="preserve"> di beni e servizi destinata alla vendita, che è oggetto di scambio e che dà quindi origine alla formazione di un prezzo di mercato, e produzione non </w:t>
      </w:r>
      <w:r w:rsidRPr="00A35518">
        <w:rPr>
          <w:i/>
          <w:iCs/>
        </w:rPr>
        <w:t>market</w:t>
      </w:r>
      <w:r w:rsidRPr="009536BA">
        <w:t xml:space="preserve"> che non è oggetto di scambio (la produzione per uso finale proprio, i servizi collettivi forniti dalla </w:t>
      </w:r>
      <w:r w:rsidR="007F3CCA">
        <w:t>Pubblica amministrazione</w:t>
      </w:r>
      <w:r w:rsidRPr="009536BA">
        <w:t xml:space="preserve"> e dalle Istituzioni senza scopo di lucro al servizio delle famiglie). </w:t>
      </w:r>
    </w:p>
    <w:p w14:paraId="727FBA76" w14:textId="46E3CBD2" w:rsidR="00A014B9" w:rsidRPr="009536BA" w:rsidRDefault="00A014B9" w:rsidP="006A503F">
      <w:pPr>
        <w:pStyle w:val="Nessunaspaziatura"/>
      </w:pPr>
      <w:r w:rsidRPr="009536BA">
        <w:rPr>
          <w:b/>
          <w:color w:val="1F497D" w:themeColor="text2"/>
        </w:rPr>
        <w:t>Settore istituzionale</w:t>
      </w:r>
      <w:r w:rsidR="00D02126">
        <w:rPr>
          <w:b/>
          <w:color w:val="1F497D" w:themeColor="text2"/>
        </w:rPr>
        <w:t>:</w:t>
      </w:r>
      <w:r w:rsidRPr="009536BA">
        <w:t xml:space="preserve"> raggruppa le unità istituzionali che hanno un comportamento economico simile. I settori istituzionali sono: Società non finanziarie, Societ</w:t>
      </w:r>
      <w:r w:rsidR="00107A68">
        <w:t>à finanziarie, Amministrazione p</w:t>
      </w:r>
      <w:r w:rsidRPr="009536BA">
        <w:t>ubblica, Famiglie, Istituzioni senza scopo di lucro al servi</w:t>
      </w:r>
      <w:r w:rsidR="00107A68">
        <w:t>zio delle famiglie e Resto del m</w:t>
      </w:r>
      <w:r w:rsidRPr="009536BA">
        <w:t>ondo. In Italia le Famiglie sono distinte in Famiglie consumatrici e Famiglie produttrici.</w:t>
      </w:r>
    </w:p>
    <w:p w14:paraId="2921341C" w14:textId="7E9F664C" w:rsidR="00A014B9" w:rsidRPr="009536BA" w:rsidRDefault="00A014B9" w:rsidP="006A503F">
      <w:pPr>
        <w:pStyle w:val="Nessunaspaziatura"/>
      </w:pPr>
      <w:r w:rsidRPr="009536BA">
        <w:rPr>
          <w:b/>
          <w:color w:val="1F497D" w:themeColor="text2"/>
        </w:rPr>
        <w:t>Spesa per consumi finali delle famiglie:</w:t>
      </w:r>
      <w:r w:rsidRPr="009536BA">
        <w:t xml:space="preserve"> </w:t>
      </w:r>
      <w:r w:rsidR="00D02126">
        <w:t>v</w:t>
      </w:r>
      <w:r w:rsidRPr="009536BA">
        <w:t>alore della spesa delle famiglie per l’insieme di beni e servizi acquisiti per il soddisfacimento dei propri bisogni individuali. Nel caso del settore Famiglie nel suo complesso include la spesa per consumi delle istituzioni senza scopo di lucro al servizio delle famiglie.</w:t>
      </w:r>
    </w:p>
    <w:p w14:paraId="79D8D7BB" w14:textId="5D53871E" w:rsidR="00A014B9" w:rsidRPr="009536BA" w:rsidRDefault="00A014B9" w:rsidP="00D02126">
      <w:pPr>
        <w:pStyle w:val="Nessunaspaziatura"/>
      </w:pPr>
      <w:r w:rsidRPr="009536BA">
        <w:rPr>
          <w:b/>
          <w:color w:val="1F497D" w:themeColor="text2"/>
        </w:rPr>
        <w:t xml:space="preserve">Spesa nazionale per la protezione dell’ambiente: </w:t>
      </w:r>
      <w:r w:rsidR="00D02126">
        <w:t>m</w:t>
      </w:r>
      <w:r w:rsidRPr="009536BA">
        <w:t xml:space="preserve">isura le risorse destinate alla prevenzione, riduzione e eliminazione dell’inquinamento e di ogni altra forma di degrado ambientale da operatori residenti (al netto, cioè dei finanziamenti ricevuti dal Resto del </w:t>
      </w:r>
      <w:r w:rsidR="007565EF">
        <w:t>m</w:t>
      </w:r>
      <w:r w:rsidRPr="009536BA">
        <w:t>ondo). L’aggregato è il risultato della somma di quattro principali tipologie di spesa dei soggetti economici: spesa per l’acquisto di servizi di protezione dell’ambiente (quali ad esempio la gestione dei rifiuti o la depurazione delle acque reflue) di famig</w:t>
      </w:r>
      <w:r w:rsidR="00107A68">
        <w:t>lie, imprese e Amministrazioni p</w:t>
      </w:r>
      <w:r w:rsidRPr="009536BA">
        <w:t>ubbliche; investimenti sostenuti da operatori che producono servizi di protezione ambientale venduti a terzi; spese per l’acquisto di apparecchi e macchinari, di beni e servizi e per il pagamento del personale addetto alle attività di protezione ambientale da parte delle imprese che le svolgono in proprio e spese destinate all’estero, ad esempio nell’ambito di accordi internazionali per la tutela ambientale.</w:t>
      </w:r>
    </w:p>
    <w:p w14:paraId="0ED91EAB" w14:textId="4711F495" w:rsidR="00A014B9" w:rsidRPr="00A35518" w:rsidRDefault="00A014B9" w:rsidP="00A35518">
      <w:pPr>
        <w:spacing w:after="120"/>
        <w:jc w:val="both"/>
        <w:rPr>
          <w:rFonts w:ascii="Arial" w:hAnsi="Arial" w:cs="Arial"/>
          <w:color w:val="000000"/>
          <w:sz w:val="20"/>
          <w:szCs w:val="20"/>
        </w:rPr>
      </w:pPr>
      <w:r w:rsidRPr="00A35518">
        <w:rPr>
          <w:rFonts w:ascii="Arial" w:hAnsi="Arial" w:cs="Arial"/>
          <w:b/>
          <w:bCs/>
          <w:color w:val="1F497D" w:themeColor="text2"/>
          <w:sz w:val="20"/>
          <w:szCs w:val="20"/>
        </w:rPr>
        <w:t>Unità non Residenti (imposte ambientali):</w:t>
      </w:r>
      <w:r w:rsidRPr="00A35518">
        <w:rPr>
          <w:rFonts w:ascii="Arial" w:hAnsi="Arial" w:cs="Arial"/>
          <w:color w:val="002060"/>
          <w:sz w:val="20"/>
          <w:szCs w:val="20"/>
        </w:rPr>
        <w:t xml:space="preserve"> </w:t>
      </w:r>
      <w:r w:rsidRPr="00A35518">
        <w:rPr>
          <w:rFonts w:ascii="Arial" w:hAnsi="Arial" w:cs="Arial"/>
          <w:sz w:val="20"/>
          <w:szCs w:val="20"/>
        </w:rPr>
        <w:t xml:space="preserve">categoria </w:t>
      </w:r>
      <w:r w:rsidR="00D02126">
        <w:rPr>
          <w:rFonts w:ascii="Arial" w:hAnsi="Arial" w:cs="Arial"/>
          <w:sz w:val="20"/>
          <w:szCs w:val="20"/>
        </w:rPr>
        <w:t xml:space="preserve">che </w:t>
      </w:r>
      <w:r w:rsidRPr="00A35518">
        <w:rPr>
          <w:rFonts w:ascii="Arial" w:hAnsi="Arial" w:cs="Arial"/>
          <w:sz w:val="20"/>
          <w:szCs w:val="20"/>
        </w:rPr>
        <w:t xml:space="preserve">include </w:t>
      </w:r>
      <w:r w:rsidRPr="00A35518">
        <w:rPr>
          <w:rFonts w:ascii="Arial" w:hAnsi="Arial" w:cs="Arial"/>
          <w:color w:val="000000"/>
          <w:sz w:val="20"/>
          <w:szCs w:val="20"/>
        </w:rPr>
        <w:t xml:space="preserve">sia famiglie consumatrici residenti all’estero sia attività economiche non residenti nel Paese di riferimento. Entrambe sono soggette al pagamento di imposte ad esempio acquistando in Italia prodotti energetici per il trasporto. </w:t>
      </w:r>
    </w:p>
    <w:p w14:paraId="3A7A31CE" w14:textId="577F246E" w:rsidR="00A014B9" w:rsidRPr="009536BA" w:rsidRDefault="00A014B9" w:rsidP="00D02126">
      <w:pPr>
        <w:pStyle w:val="Nessunaspaziatura"/>
        <w:rPr>
          <w:b/>
        </w:rPr>
      </w:pPr>
      <w:r w:rsidRPr="009536BA">
        <w:rPr>
          <w:b/>
          <w:color w:val="1F497D" w:themeColor="text2"/>
        </w:rPr>
        <w:t>Valore aggiunto ai prezzi base:</w:t>
      </w:r>
      <w:r w:rsidRPr="009536BA">
        <w:t xml:space="preserve"> </w:t>
      </w:r>
      <w:r w:rsidR="00A35518">
        <w:t>d</w:t>
      </w:r>
      <w:r w:rsidR="00A35518" w:rsidRPr="009536BA">
        <w:t xml:space="preserve">ifferenza </w:t>
      </w:r>
      <w:r w:rsidRPr="009536BA">
        <w:t>tra il valore della produzione di beni e servizi ed il valore dei costi intermedi sostenuti a fronte di tale produzione. La produzione è valutata ai prezzi base, cioè al netto delle imposte sui prodotti e al lordo dei contributi ai prodotti e i costi intermedi ai prezzi di acquisto. Corrisponde alla somma delle retribuzioni dei fattori produttivi e degli ammortamenti.</w:t>
      </w:r>
    </w:p>
    <w:p w14:paraId="538A1EA9" w14:textId="6BD41BF2" w:rsidR="00C65C01" w:rsidRDefault="00C65C01" w:rsidP="006A503F">
      <w:pPr>
        <w:spacing w:after="120"/>
        <w:rPr>
          <w:rFonts w:ascii="Georgia" w:hAnsi="Georgia" w:cs="Arial"/>
          <w:color w:val="1F497D" w:themeColor="text2"/>
          <w:sz w:val="48"/>
          <w:szCs w:val="48"/>
        </w:rPr>
      </w:pPr>
    </w:p>
    <w:p w14:paraId="349B19A4" w14:textId="1293AF5C" w:rsidR="00015D71" w:rsidRDefault="00015D71" w:rsidP="006A503F">
      <w:pPr>
        <w:pStyle w:val="Titolo3"/>
        <w:spacing w:before="0" w:beforeAutospacing="0" w:after="120" w:afterAutospacing="0"/>
        <w:rPr>
          <w:rFonts w:ascii="Georgia" w:hAnsi="Georgia" w:cs="Arial"/>
          <w:b w:val="0"/>
          <w:color w:val="1F497D" w:themeColor="text2"/>
          <w:sz w:val="48"/>
          <w:szCs w:val="48"/>
        </w:rPr>
      </w:pPr>
      <w:r w:rsidRPr="0007346F">
        <w:rPr>
          <w:rFonts w:ascii="Georgia" w:hAnsi="Georgia" w:cs="Arial"/>
          <w:b w:val="0"/>
          <w:color w:val="1F497D" w:themeColor="text2"/>
          <w:sz w:val="48"/>
          <w:szCs w:val="48"/>
        </w:rPr>
        <w:t>Nota metodologica</w:t>
      </w:r>
    </w:p>
    <w:p w14:paraId="02F8AEEA" w14:textId="77777777" w:rsidR="00A014B9" w:rsidRPr="00B669DE" w:rsidRDefault="00A014B9" w:rsidP="006A503F">
      <w:pPr>
        <w:pStyle w:val="Titolo2"/>
        <w:rPr>
          <w:rFonts w:ascii="Arial" w:hAnsi="Arial" w:cs="Arial"/>
          <w:b/>
          <w:i w:val="0"/>
          <w:color w:val="1F497D" w:themeColor="text2"/>
          <w:sz w:val="22"/>
          <w:szCs w:val="20"/>
        </w:rPr>
      </w:pPr>
      <w:bookmarkStart w:id="2" w:name="_Hlk119667390"/>
      <w:r w:rsidRPr="00B669DE">
        <w:rPr>
          <w:rFonts w:ascii="Arial" w:hAnsi="Arial" w:cs="Arial"/>
          <w:b/>
          <w:i w:val="0"/>
          <w:color w:val="1F497D" w:themeColor="text2"/>
          <w:sz w:val="22"/>
          <w:szCs w:val="20"/>
        </w:rPr>
        <w:t>Introduzione: I conti ambientali: una lettura integrata di economia e ambiente</w:t>
      </w:r>
    </w:p>
    <w:p w14:paraId="195AF59E" w14:textId="77777777" w:rsidR="00A014B9" w:rsidRDefault="00A014B9" w:rsidP="006A503F">
      <w:pPr>
        <w:pStyle w:val="Nessunaspaziatura"/>
      </w:pPr>
      <w:r>
        <w:t>La contabilità ambientale descrive le relazioni</w:t>
      </w:r>
      <w:r w:rsidRPr="006F389D">
        <w:t xml:space="preserve"> tra economia e ambiente in</w:t>
      </w:r>
      <w:r>
        <w:t>tegrando</w:t>
      </w:r>
      <w:r w:rsidRPr="006F389D">
        <w:t xml:space="preserve"> le categorie concettuali e le classificazioni del Sistema dei conti nazionali (</w:t>
      </w:r>
      <w:r w:rsidRPr="00CE7D0F">
        <w:rPr>
          <w:i/>
          <w:iCs/>
        </w:rPr>
        <w:t>System of national accounts</w:t>
      </w:r>
      <w:r w:rsidRPr="006F389D">
        <w:t xml:space="preserve"> – Sna e Sistema europeo dei conti - Sec) con quelle della scienza ecologica. </w:t>
      </w:r>
    </w:p>
    <w:p w14:paraId="518D6120" w14:textId="77777777" w:rsidR="00A014B9" w:rsidRPr="006F389D" w:rsidRDefault="00A014B9" w:rsidP="006A503F">
      <w:pPr>
        <w:pStyle w:val="Nessunaspaziatura"/>
      </w:pPr>
      <w:r w:rsidRPr="006F389D">
        <w:t>Tale integrazione è r</w:t>
      </w:r>
      <w:r>
        <w:t xml:space="preserve">appresentata </w:t>
      </w:r>
      <w:r w:rsidRPr="006F389D">
        <w:t xml:space="preserve">attraverso: </w:t>
      </w:r>
    </w:p>
    <w:p w14:paraId="37D3F858" w14:textId="77777777" w:rsidR="00A014B9" w:rsidRPr="006F389D" w:rsidRDefault="00A014B9" w:rsidP="006A503F">
      <w:pPr>
        <w:pStyle w:val="Nessunaspaziatura"/>
        <w:numPr>
          <w:ilvl w:val="0"/>
          <w:numId w:val="38"/>
        </w:numPr>
      </w:pPr>
      <w:r w:rsidRPr="006F389D">
        <w:t xml:space="preserve">descrizioni della dimensione fisica del sistema socioeconomico, </w:t>
      </w:r>
      <w:r>
        <w:t xml:space="preserve">ovvero della sua struttura, </w:t>
      </w:r>
      <w:r w:rsidRPr="006F389D">
        <w:t xml:space="preserve">funzionamento </w:t>
      </w:r>
      <w:r>
        <w:t>e relazione con l’ambiente naturale, in termini</w:t>
      </w:r>
      <w:r w:rsidRPr="006F389D">
        <w:t xml:space="preserve"> </w:t>
      </w:r>
      <w:r>
        <w:t xml:space="preserve">di stock </w:t>
      </w:r>
      <w:r w:rsidRPr="006F389D">
        <w:t>di materia ed energia</w:t>
      </w:r>
      <w:r>
        <w:t xml:space="preserve">, di occupazione dello spazio, di </w:t>
      </w:r>
      <w:r w:rsidRPr="006F389D">
        <w:t>flussi</w:t>
      </w:r>
      <w:r>
        <w:t xml:space="preserve"> </w:t>
      </w:r>
      <w:r w:rsidRPr="006F389D">
        <w:t xml:space="preserve">da e verso la natura </w:t>
      </w:r>
      <w:r>
        <w:t>di risorse e residui nonché</w:t>
      </w:r>
      <w:r w:rsidRPr="006F389D">
        <w:t xml:space="preserve"> </w:t>
      </w:r>
      <w:r>
        <w:t xml:space="preserve">di flussi di prodotti </w:t>
      </w:r>
      <w:r w:rsidRPr="006F389D">
        <w:t xml:space="preserve">tra le unità economiche. </w:t>
      </w:r>
      <w:r>
        <w:t xml:space="preserve">Tali descrizioni sono basate su conoscenze </w:t>
      </w:r>
      <w:r w:rsidRPr="006F389D">
        <w:t>scien</w:t>
      </w:r>
      <w:r>
        <w:t>tifiche,</w:t>
      </w:r>
      <w:r w:rsidRPr="006F389D">
        <w:t xml:space="preserve"> </w:t>
      </w:r>
      <w:r>
        <w:t xml:space="preserve">e interessano le </w:t>
      </w:r>
      <w:r w:rsidRPr="006F389D">
        <w:t>determinanti d</w:t>
      </w:r>
      <w:r>
        <w:t>elle</w:t>
      </w:r>
      <w:r w:rsidRPr="006F389D">
        <w:t xml:space="preserve"> pressioni sull’ambiente</w:t>
      </w:r>
      <w:r>
        <w:t>, le pressioni stesse, lo stato del sistema naturale (risorse ed ecosistemi) e i cambiamenti di questo</w:t>
      </w:r>
      <w:r w:rsidRPr="006F389D">
        <w:t>. Le unità economiche interessate dai flussi fisici sono definite ed aggregate come nei Conti economici nazionali. Ciò permette la rappresentazione congiunta dei contributi che le diverse attività danno alle pressioni e ai flussi economici;</w:t>
      </w:r>
    </w:p>
    <w:p w14:paraId="59EB1B23" w14:textId="77777777" w:rsidR="00A014B9" w:rsidRPr="006F389D" w:rsidRDefault="00A014B9" w:rsidP="006A503F">
      <w:pPr>
        <w:pStyle w:val="Nessunaspaziatura"/>
        <w:numPr>
          <w:ilvl w:val="0"/>
          <w:numId w:val="38"/>
        </w:numPr>
      </w:pPr>
      <w:r w:rsidRPr="006F389D">
        <w:lastRenderedPageBreak/>
        <w:t>descrizioni dei flussi economici, già inclusi nei conti nazionali - quali valore della produzione, valore aggiunto, input di lavoro, importazioni, esportazioni, consumi intermedi e finali, investimenti, imposte - a livelli di dettaglio funzionali all’analisi delle relazioni tra ambiente naturale e sistema antropico. Ciò consente ad esempio di individuare i flussi monetari che il sistema economico attiva come misure di prevenzione del danno ambientale o di gestione delle risorse naturali, quali risposte del sistema socioeconomico alle sfide ambientali.</w:t>
      </w:r>
    </w:p>
    <w:p w14:paraId="2B7CFF62" w14:textId="07093BB2" w:rsidR="00A014B9" w:rsidRPr="006F389D" w:rsidRDefault="00A014B9" w:rsidP="006A503F">
      <w:pPr>
        <w:pStyle w:val="Nessunaspaziatura"/>
      </w:pPr>
      <w:r>
        <w:t>I</w:t>
      </w:r>
      <w:r w:rsidRPr="00A83649">
        <w:t xml:space="preserve"> conti satellite dell’ambiente </w:t>
      </w:r>
      <w:r>
        <w:t xml:space="preserve">sono </w:t>
      </w:r>
      <w:r w:rsidRPr="00A83649">
        <w:t xml:space="preserve">prodotti dall’Istat secondo i principi definiti dallo standard statistico internazionale “Sistema di contabilità integrata ambientale ed economica” (Seea 2012). </w:t>
      </w:r>
      <w:r w:rsidRPr="0095604B">
        <w:t>Il Seea è a sua volta coerente con i concetti, gli standard e le classificazioni dei conti economici nazionali, definiti dal</w:t>
      </w:r>
      <w:r>
        <w:t xml:space="preserve">lo </w:t>
      </w:r>
      <w:r w:rsidRPr="0095604B">
        <w:t>Sna 2008</w:t>
      </w:r>
      <w:r>
        <w:t xml:space="preserve"> </w:t>
      </w:r>
      <w:r w:rsidRPr="0095604B">
        <w:t>e dal Sec 2010</w:t>
      </w:r>
      <w:r w:rsidRPr="00A83649">
        <w:t>.</w:t>
      </w:r>
      <w:r w:rsidRPr="001775ED">
        <w:t xml:space="preserve"> </w:t>
      </w:r>
      <w:r>
        <w:t xml:space="preserve">Non tutti i conti previsti dal Seea sono oggetto di effettiva realizzazione, in Italia e negli altri </w:t>
      </w:r>
      <w:r w:rsidR="00C76EBF">
        <w:t>P</w:t>
      </w:r>
      <w:r>
        <w:t xml:space="preserve">aesi. La </w:t>
      </w:r>
      <w:r w:rsidR="00A8174A">
        <w:t>F</w:t>
      </w:r>
      <w:r>
        <w:t xml:space="preserve">igura </w:t>
      </w:r>
      <w:r w:rsidR="00A35518">
        <w:t>7</w:t>
      </w:r>
      <w:r>
        <w:t xml:space="preserve"> esemplifica i </w:t>
      </w:r>
      <w:r w:rsidRPr="006F389D">
        <w:t xml:space="preserve">principali tipi di flusso </w:t>
      </w:r>
      <w:r>
        <w:t xml:space="preserve">oggetto dei conti ambientali che l’Istat produce regolarmente. Si tratta dei </w:t>
      </w:r>
      <w:r w:rsidRPr="006F389D">
        <w:t xml:space="preserve">sei conti integrati economici e ambientali </w:t>
      </w:r>
      <w:r>
        <w:t xml:space="preserve">previsti dal </w:t>
      </w:r>
      <w:r w:rsidRPr="006F389D">
        <w:t>Regolamento europeo sui conti economici ambientali</w:t>
      </w:r>
      <w:r>
        <w:t xml:space="preserve"> </w:t>
      </w:r>
      <w:r w:rsidDel="007E69B2">
        <w:t>europei</w:t>
      </w:r>
      <w:r>
        <w:t xml:space="preserve"> (R</w:t>
      </w:r>
      <w:r w:rsidDel="007E69B2">
        <w:t>egolamento Ue n. 691/2011, come</w:t>
      </w:r>
      <w:r>
        <w:t xml:space="preserve"> modificato dal </w:t>
      </w:r>
      <w:r w:rsidR="006348DD">
        <w:t>R</w:t>
      </w:r>
      <w:r>
        <w:t>egolamento Ue</w:t>
      </w:r>
      <w:r w:rsidDel="007E69B2">
        <w:t xml:space="preserve"> n. 538/2014</w:t>
      </w:r>
      <w:r>
        <w:t xml:space="preserve"> e dal Reg. delegato Ue 2022/125 della Commissione del 19 novembre 2021</w:t>
      </w:r>
      <w:r>
        <w:rPr>
          <w:rStyle w:val="Rimandonotaapidipagina"/>
        </w:rPr>
        <w:footnoteReference w:id="1"/>
      </w:r>
      <w:r>
        <w:t>)</w:t>
      </w:r>
      <w:r w:rsidDel="007E69B2">
        <w:t>.</w:t>
      </w:r>
      <w:r>
        <w:t xml:space="preserve"> Tre di questi conti hanno per oggetto grandezze fisiche (massa, energia, </w:t>
      </w:r>
      <w:r w:rsidRPr="00147E0F">
        <w:t>potenziali d’impatto</w:t>
      </w:r>
      <w:r>
        <w:t xml:space="preserve"> sul clima e sulla qualità dell’aria), tre riguardano transazioni economiche e sono quindi espressi principalmente in unità monetarie. Oltre che al Seea e tale regolamento, l’Istat fa riferimento, da un punto di vista operativo, alla manualistica specializzata prodotta da Eurostat, relativa a ciascuno specifico conto, nonché alle indicazioni emergenti dai gruppi di lavoro attivi nell’ambito del Sistema Statistico Europeo, ai quali l’Istat contribuisce regolarmente.</w:t>
      </w:r>
    </w:p>
    <w:p w14:paraId="755E1B21" w14:textId="5293C9EE" w:rsidR="00A014B9" w:rsidRPr="00A35518" w:rsidRDefault="00A8174A" w:rsidP="00A014B9">
      <w:pPr>
        <w:pStyle w:val="Didascalia"/>
        <w:rPr>
          <w:rFonts w:ascii="Arial Narrow" w:hAnsi="Arial Narrow" w:cs="Arial"/>
          <w:bCs/>
          <w:iCs/>
          <w:noProof/>
          <w:color w:val="1F497D" w:themeColor="text2"/>
          <w:sz w:val="22"/>
          <w:szCs w:val="22"/>
        </w:rPr>
      </w:pPr>
      <w:r w:rsidRPr="00A8174A">
        <w:rPr>
          <w:rFonts w:ascii="Arial Narrow" w:hAnsi="Arial Narrow" w:cs="Arial"/>
          <w:bCs/>
          <w:iCs/>
          <w:noProof/>
          <w:color w:val="1F497D" w:themeColor="text2"/>
          <w:sz w:val="22"/>
          <w:szCs w:val="22"/>
        </w:rPr>
        <w:t xml:space="preserve">FIGURA </w:t>
      </w:r>
      <w:r w:rsidR="00A35518">
        <w:rPr>
          <w:rFonts w:ascii="Arial Narrow" w:hAnsi="Arial Narrow" w:cs="Arial"/>
          <w:bCs/>
          <w:iCs/>
          <w:noProof/>
          <w:color w:val="1F497D" w:themeColor="text2"/>
          <w:sz w:val="22"/>
          <w:szCs w:val="22"/>
        </w:rPr>
        <w:t>7</w:t>
      </w:r>
      <w:r w:rsidRPr="00A8174A">
        <w:rPr>
          <w:rFonts w:ascii="Arial Narrow" w:hAnsi="Arial Narrow" w:cs="Arial"/>
          <w:bCs/>
          <w:iCs/>
          <w:noProof/>
          <w:color w:val="1F497D" w:themeColor="text2"/>
          <w:sz w:val="22"/>
          <w:szCs w:val="22"/>
        </w:rPr>
        <w:t xml:space="preserve">. </w:t>
      </w:r>
      <w:r w:rsidRPr="006A503F">
        <w:rPr>
          <w:rFonts w:ascii="Arial Narrow" w:hAnsi="Arial Narrow" w:cs="Arial"/>
          <w:bCs/>
          <w:iCs/>
          <w:noProof/>
          <w:color w:val="1F497D" w:themeColor="text2"/>
          <w:sz w:val="22"/>
          <w:szCs w:val="22"/>
        </w:rPr>
        <w:t xml:space="preserve">IL SISTEMA ECONOMIA-NATURA E I CONTI AMBIENTALI </w:t>
      </w:r>
    </w:p>
    <w:p w14:paraId="3643BA99" w14:textId="77777777" w:rsidR="00A014B9" w:rsidRPr="006F389D" w:rsidRDefault="00A014B9" w:rsidP="00A8174A">
      <w:pPr>
        <w:pStyle w:val="Nessunaspaziatura"/>
      </w:pPr>
      <w:r w:rsidRPr="006F389D">
        <w:rPr>
          <w:noProof/>
          <w:lang w:eastAsia="it-IT"/>
        </w:rPr>
        <w:drawing>
          <wp:inline distT="0" distB="0" distL="0" distR="0" wp14:anchorId="70C66969" wp14:editId="06C6DEBA">
            <wp:extent cx="4895261" cy="2876038"/>
            <wp:effectExtent l="0" t="0" r="635" b="63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13898" cy="2886987"/>
                    </a:xfrm>
                    <a:prstGeom prst="rect">
                      <a:avLst/>
                    </a:prstGeom>
                  </pic:spPr>
                </pic:pic>
              </a:graphicData>
            </a:graphic>
          </wp:inline>
        </w:drawing>
      </w:r>
    </w:p>
    <w:p w14:paraId="5F5A51ED" w14:textId="77777777" w:rsidR="00A014B9" w:rsidRPr="006F389D" w:rsidRDefault="00A014B9" w:rsidP="00A8174A">
      <w:pPr>
        <w:pStyle w:val="Nessunaspaziatura"/>
      </w:pPr>
    </w:p>
    <w:p w14:paraId="2705E2D7" w14:textId="5893BBBA" w:rsidR="00A014B9" w:rsidRPr="00CE7D0F" w:rsidRDefault="00A014B9" w:rsidP="00CE7D0F">
      <w:pPr>
        <w:pStyle w:val="Titolo2"/>
        <w:autoSpaceDE w:val="0"/>
        <w:autoSpaceDN w:val="0"/>
        <w:adjustRightInd w:val="0"/>
        <w:jc w:val="both"/>
        <w:rPr>
          <w:rFonts w:ascii="Arial" w:hAnsi="Arial" w:cs="Arial"/>
          <w:b/>
          <w:bCs w:val="0"/>
          <w:i w:val="0"/>
          <w:color w:val="1F497D" w:themeColor="text2"/>
          <w:sz w:val="22"/>
          <w:szCs w:val="22"/>
        </w:rPr>
      </w:pPr>
      <w:r w:rsidRPr="00CE7D0F">
        <w:rPr>
          <w:rFonts w:ascii="Arial" w:hAnsi="Arial" w:cs="Arial"/>
          <w:b/>
          <w:bCs w:val="0"/>
          <w:i w:val="0"/>
          <w:color w:val="1F497D" w:themeColor="text2"/>
          <w:sz w:val="22"/>
          <w:szCs w:val="22"/>
        </w:rPr>
        <w:t>La contabilità ambientale fisica prodotta dall’Istat</w:t>
      </w:r>
    </w:p>
    <w:p w14:paraId="27DC219B" w14:textId="056BB2A4" w:rsidR="00A014B9" w:rsidRDefault="00A014B9" w:rsidP="00A8174A">
      <w:pPr>
        <w:pStyle w:val="Nessunaspaziatura"/>
      </w:pPr>
      <w:r>
        <w:t xml:space="preserve">I </w:t>
      </w:r>
      <w:r w:rsidRPr="00E728C3">
        <w:rPr>
          <w:b/>
        </w:rPr>
        <w:t>conti ambientali</w:t>
      </w:r>
      <w:r>
        <w:rPr>
          <w:b/>
        </w:rPr>
        <w:t xml:space="preserve"> dei flussi</w:t>
      </w:r>
      <w:r>
        <w:t xml:space="preserve"> </w:t>
      </w:r>
      <w:r w:rsidRPr="007B5C94">
        <w:rPr>
          <w:b/>
        </w:rPr>
        <w:t>fisici</w:t>
      </w:r>
      <w:r w:rsidRPr="00204B2F" w:rsidDel="00835A54">
        <w:rPr>
          <w:b/>
        </w:rPr>
        <w:t xml:space="preserve"> </w:t>
      </w:r>
      <w:r w:rsidRPr="006F389D">
        <w:t xml:space="preserve">sono dedicati </w:t>
      </w:r>
      <w:r>
        <w:t>a</w:t>
      </w:r>
      <w:r w:rsidRPr="006F389D">
        <w:t xml:space="preserve">lla misurazione del </w:t>
      </w:r>
      <w:r>
        <w:t>“</w:t>
      </w:r>
      <w:r w:rsidRPr="006F389D">
        <w:t>metabolismo socio-economico</w:t>
      </w:r>
      <w:r>
        <w:t xml:space="preserve">” del </w:t>
      </w:r>
      <w:r w:rsidRPr="006F389D">
        <w:t xml:space="preserve">sistema </w:t>
      </w:r>
      <w:r>
        <w:t>antrop</w:t>
      </w:r>
      <w:r w:rsidRPr="006F389D">
        <w:t>ico nazionale</w:t>
      </w:r>
      <w:r>
        <w:t>,</w:t>
      </w:r>
      <w:r w:rsidRPr="006F389D">
        <w:t xml:space="preserve"> </w:t>
      </w:r>
      <w:r>
        <w:t xml:space="preserve">ovvero delle trasformazioni e della circolazione di materia ed energia, in termini di scambi delle attività economiche con </w:t>
      </w:r>
      <w:r w:rsidRPr="006F389D">
        <w:t>il sistema naturale</w:t>
      </w:r>
      <w:r>
        <w:t>,</w:t>
      </w:r>
      <w:r w:rsidR="007565EF">
        <w:t xml:space="preserve"> con il R</w:t>
      </w:r>
      <w:r w:rsidRPr="006F389D">
        <w:t xml:space="preserve">esto del mondo </w:t>
      </w:r>
      <w:r>
        <w:t xml:space="preserve">e tra di esse. </w:t>
      </w:r>
      <w:r w:rsidRPr="006F389D">
        <w:t xml:space="preserve">Gli scambi con il sistema naturale consistono in prelievi di risorse naturali (trasformate in prodotti) e in restituzioni all’ambiente di materia degradata, </w:t>
      </w:r>
      <w:r w:rsidR="007565EF">
        <w:t>mentre quelli con il R</w:t>
      </w:r>
      <w:r w:rsidRPr="006F389D">
        <w:t xml:space="preserve">esto del mondo </w:t>
      </w:r>
      <w:r>
        <w:t xml:space="preserve">e tra le attività economiche </w:t>
      </w:r>
      <w:r w:rsidRPr="006F389D">
        <w:t>riguardano l’intera gamma dei prodotti materiali</w:t>
      </w:r>
      <w:r>
        <w:t xml:space="preserve"> e dell’energia</w:t>
      </w:r>
      <w:r w:rsidRPr="006F389D">
        <w:t xml:space="preserve">, dalle materie prime ai prodotti finiti più compositi. </w:t>
      </w:r>
      <w:r>
        <w:t>I flussi registrati sono tutti quelli connessi alle attività delle unità residenti, indipendentemente dal luogo geografico in cui avvengono. La partizione del sistema antropico risponde a criteri di natura economica, e si realizza attraverso l’utilizzo delle definizioni e classificazioni proprie della Contabilità nazionale e con la rappresentazione dei flussi basata sull’architettura delle tavole delle risorse e degli impieghi proprie dei conti monetari, estese come necessario per allocare i flussi tra ambiente ed economia. Per questo, i</w:t>
      </w:r>
      <w:r w:rsidRPr="00EE329A">
        <w:t xml:space="preserve"> </w:t>
      </w:r>
      <w:r w:rsidRPr="001F74C8">
        <w:t>conti ambientali dei flussi</w:t>
      </w:r>
      <w:r w:rsidRPr="00EE329A">
        <w:t xml:space="preserve"> </w:t>
      </w:r>
      <w:r w:rsidRPr="001F74C8">
        <w:t>fisici</w:t>
      </w:r>
      <w:r w:rsidRPr="00204B2F" w:rsidDel="00835A54">
        <w:rPr>
          <w:b/>
        </w:rPr>
        <w:t xml:space="preserve"> </w:t>
      </w:r>
      <w:r>
        <w:t xml:space="preserve">sono particolarmente idonei all’utilizzo nell’analisi integrata ambientale, energetica ed economica. </w:t>
      </w:r>
      <w:r w:rsidRPr="006F389D">
        <w:t>I flussi descritti, misuran</w:t>
      </w:r>
      <w:r>
        <w:t>d</w:t>
      </w:r>
      <w:r w:rsidRPr="006F389D">
        <w:t>o grand</w:t>
      </w:r>
      <w:r>
        <w:t>ezze espresse in termini fisici,</w:t>
      </w:r>
      <w:r w:rsidRPr="006F389D">
        <w:t xml:space="preserve"> forniscono informazioni supplementari a quelle dei conti economici nazionali, con i quali mantengono la coerenza riguardo a concetti, definizioni, princìpi contabili e classificazioni. Tale approccio costituisce la peculiarità dei conti ambientali e li differenzia dalle altre fonti di dati </w:t>
      </w:r>
      <w:r>
        <w:t xml:space="preserve">sull’ambiente – </w:t>
      </w:r>
      <w:r w:rsidRPr="006F389D">
        <w:t>a partire dai qu</w:t>
      </w:r>
      <w:r>
        <w:t xml:space="preserve">ali i conti vengono elaborati, soprattutto per quanto riguarda le statistiche </w:t>
      </w:r>
      <w:r w:rsidRPr="006F389D">
        <w:t>sull’energia e sulle emissioni</w:t>
      </w:r>
      <w:r>
        <w:t xml:space="preserve"> –</w:t>
      </w:r>
      <w:r w:rsidRPr="0048428A">
        <w:t xml:space="preserve"> </w:t>
      </w:r>
      <w:r>
        <w:t xml:space="preserve">che generalmente rispondono al principio del territorio geografico e utilizzano classificazioni diverse da quelle utilizzate nell’analisi </w:t>
      </w:r>
      <w:r>
        <w:lastRenderedPageBreak/>
        <w:t>economica</w:t>
      </w:r>
      <w:r w:rsidRPr="006F389D">
        <w:t xml:space="preserve">. </w:t>
      </w:r>
      <w:r>
        <w:t xml:space="preserve">Nell’ambito dei conti ambientali dei flussi fisici, l’Istat produce regolarmente i </w:t>
      </w:r>
      <w:r w:rsidRPr="006F389D">
        <w:t>Conti dei flussi di materia, dei flussi fisici di energia e delle emissioni</w:t>
      </w:r>
      <w:r>
        <w:t>.</w:t>
      </w:r>
    </w:p>
    <w:p w14:paraId="4302066F" w14:textId="1DCA70B0" w:rsidR="00A014B9" w:rsidRPr="006F389D" w:rsidRDefault="00A014B9" w:rsidP="00A8174A">
      <w:pPr>
        <w:pStyle w:val="Nessunaspaziatura"/>
      </w:pPr>
      <w:r w:rsidRPr="006F389D">
        <w:t xml:space="preserve">Determinando il peso complessivo </w:t>
      </w:r>
      <w:r>
        <w:t xml:space="preserve">– con l’esclusione di aria e acqua – </w:t>
      </w:r>
      <w:r w:rsidRPr="006F389D">
        <w:t>dei</w:t>
      </w:r>
      <w:r>
        <w:t xml:space="preserve"> </w:t>
      </w:r>
      <w:r w:rsidRPr="006F389D">
        <w:t xml:space="preserve">materiali utilizzati nel processo produttivo di un paese, </w:t>
      </w:r>
      <w:r w:rsidRPr="0037304E">
        <w:rPr>
          <w:b/>
        </w:rPr>
        <w:t>i Conti dei flussi di materia</w:t>
      </w:r>
      <w:r>
        <w:rPr>
          <w:b/>
        </w:rPr>
        <w:t xml:space="preserve"> </w:t>
      </w:r>
      <w:r>
        <w:t>(</w:t>
      </w:r>
      <w:r w:rsidR="00992CA6">
        <w:t>Mfa</w:t>
      </w:r>
      <w:r>
        <w:t xml:space="preserve"> – </w:t>
      </w:r>
      <w:r w:rsidRPr="00CE7D0F">
        <w:rPr>
          <w:i/>
          <w:iCs/>
        </w:rPr>
        <w:t xml:space="preserve">Material </w:t>
      </w:r>
      <w:r w:rsidR="00992CA6" w:rsidRPr="00CE7D0F">
        <w:rPr>
          <w:i/>
          <w:iCs/>
        </w:rPr>
        <w:t>flow accounts</w:t>
      </w:r>
      <w:r>
        <w:t>)</w:t>
      </w:r>
      <w:r w:rsidRPr="006F389D">
        <w:t xml:space="preserve"> rimanda</w:t>
      </w:r>
      <w:r>
        <w:t>no</w:t>
      </w:r>
      <w:r w:rsidRPr="006F389D">
        <w:t xml:space="preserve"> alla pressione antropica </w:t>
      </w:r>
      <w:r>
        <w:t xml:space="preserve">esercitata </w:t>
      </w:r>
      <w:r w:rsidRPr="006F389D">
        <w:t>sull’ambiente</w:t>
      </w:r>
      <w:r>
        <w:t xml:space="preserve"> in una prospettiva olistica</w:t>
      </w:r>
      <w:r w:rsidRPr="006F389D">
        <w:t xml:space="preserve">. </w:t>
      </w:r>
      <w:r>
        <w:t xml:space="preserve">I </w:t>
      </w:r>
      <w:r w:rsidRPr="006F389D">
        <w:t xml:space="preserve">materiali </w:t>
      </w:r>
      <w:r>
        <w:t xml:space="preserve">contabilizzati provengono dall’ambiente naturale nazionale (estrazione </w:t>
      </w:r>
      <w:r w:rsidRPr="006F389D">
        <w:t>interna</w:t>
      </w:r>
      <w:r>
        <w:t xml:space="preserve">) oppure dall’estero (importazioni, per definizione costituite da prodotti). Tutti i flussi sono classificati per tipologia merceologica (biomasse, minerali </w:t>
      </w:r>
      <w:r w:rsidRPr="006F389D">
        <w:t>e prodotti compositi</w:t>
      </w:r>
      <w:r>
        <w:t>,</w:t>
      </w:r>
      <w:r w:rsidRPr="006F389D">
        <w:t xml:space="preserve"> </w:t>
      </w:r>
      <w:r>
        <w:t xml:space="preserve">per tipo). Le esportazioni (unico flusso contabilizzato dal </w:t>
      </w:r>
      <w:r w:rsidRPr="002C0DEA">
        <w:t xml:space="preserve">lato </w:t>
      </w:r>
      <w:r>
        <w:t xml:space="preserve">della destinazione di quanto risulta dalle trasformazioni che avvengono nell’economia nazionale) e le importazioni, sono classificate anche secondo il </w:t>
      </w:r>
      <w:r w:rsidRPr="0037304E">
        <w:t>grado di lavorazione</w:t>
      </w:r>
      <w:r>
        <w:t xml:space="preserve"> mentre per definizione i materiali di estrazione interna sono quelli incorporati in prodotti primari. </w:t>
      </w:r>
      <w:r w:rsidRPr="006F389D">
        <w:t>I dati elaborati non coprono direttamente le restituzioni all’ambiente naturale</w:t>
      </w:r>
      <w:r>
        <w:t xml:space="preserve"> ma, </w:t>
      </w:r>
      <w:r w:rsidRPr="006F389D">
        <w:t>in virtù del principio di conservazione della materia</w:t>
      </w:r>
      <w:r>
        <w:t xml:space="preserve"> – in base al quale i materiali utilizzati come input si trasformano necessariamente in output come emissioni, reflui, accumulo di rifiuti, capitale e beni durevoli – </w:t>
      </w:r>
      <w:r w:rsidRPr="006F389D">
        <w:t>forniscono indica</w:t>
      </w:r>
      <w:r>
        <w:t>zioni significative anche sulle pressioni esercitate sull’atmosfera, le acque, il suolo e gli ecosistemi</w:t>
      </w:r>
      <w:r w:rsidRPr="006F389D">
        <w:t xml:space="preserve">. </w:t>
      </w:r>
      <w:r>
        <w:t xml:space="preserve">Inoltre, l’evoluzione nel tempo dei flussi di materia aiuta a comprendere le </w:t>
      </w:r>
      <w:r w:rsidRPr="006F389D">
        <w:t xml:space="preserve">caratteristiche </w:t>
      </w:r>
      <w:r>
        <w:t xml:space="preserve">salienti </w:t>
      </w:r>
      <w:r w:rsidRPr="006F389D">
        <w:t>dello sviluppo economico di un paese.</w:t>
      </w:r>
      <w:r>
        <w:t xml:space="preserve"> </w:t>
      </w:r>
      <w:r w:rsidRPr="006F389D">
        <w:t>I dati sono disponibili su scala nazionale, come previsto dal Regolam</w:t>
      </w:r>
      <w:r>
        <w:t>ento europeo, nonché su scala regionale</w:t>
      </w:r>
      <w:r w:rsidRPr="006F389D">
        <w:t>.</w:t>
      </w:r>
      <w:r>
        <w:t xml:space="preserve"> </w:t>
      </w:r>
    </w:p>
    <w:p w14:paraId="66183B72" w14:textId="3DDC5FCF" w:rsidR="00B93CB2" w:rsidRDefault="00A014B9" w:rsidP="00A8174A">
      <w:pPr>
        <w:pStyle w:val="Nessunaspaziatura"/>
      </w:pPr>
      <w:r w:rsidRPr="006F389D">
        <w:t xml:space="preserve">Per la specifica categoria dei materiali energetici, i </w:t>
      </w:r>
      <w:r w:rsidRPr="007E69B2">
        <w:rPr>
          <w:b/>
        </w:rPr>
        <w:t>Conti dei flussi fisici di energia</w:t>
      </w:r>
      <w:r w:rsidRPr="006F389D">
        <w:t xml:space="preserve"> </w:t>
      </w:r>
      <w:r>
        <w:t>(</w:t>
      </w:r>
      <w:r w:rsidR="00992CA6">
        <w:t>Pefa</w:t>
      </w:r>
      <w:r>
        <w:t xml:space="preserve"> – </w:t>
      </w:r>
      <w:r w:rsidRPr="00A35518">
        <w:rPr>
          <w:i/>
          <w:iCs/>
        </w:rPr>
        <w:t xml:space="preserve">Physical </w:t>
      </w:r>
      <w:r w:rsidR="00992CA6" w:rsidRPr="00A35518">
        <w:rPr>
          <w:i/>
          <w:iCs/>
        </w:rPr>
        <w:t>energy flow accounts</w:t>
      </w:r>
      <w:r>
        <w:t>) consentono di analizzare in maniera dettagliata il metabolismo energetico del sistema socioeconomico e le interazioni tra sistema naturale e sistema antropico connesse all’approvvigionamento, alla trasformazione e all’utilizzo dell’energia, forne</w:t>
      </w:r>
      <w:r w:rsidRPr="006F389D">
        <w:t>n</w:t>
      </w:r>
      <w:r>
        <w:t>d</w:t>
      </w:r>
      <w:r w:rsidRPr="006F389D">
        <w:t xml:space="preserve">o una descrizione completa </w:t>
      </w:r>
      <w:r>
        <w:t xml:space="preserve">non soltanto </w:t>
      </w:r>
      <w:r w:rsidRPr="006F389D">
        <w:t>delle interazioni tra sistema naturale e sistema antropico</w:t>
      </w:r>
      <w:r>
        <w:t>, ma anche dei flussi interni al sistema economico (prodotti energetici e alcuni prodotti non energetici utilizzati per finalità energetiche)</w:t>
      </w:r>
      <w:r w:rsidRPr="006F389D">
        <w:t xml:space="preserve">. </w:t>
      </w:r>
      <w:r>
        <w:t xml:space="preserve">I flussi sono misurati </w:t>
      </w:r>
      <w:r w:rsidRPr="006F389D">
        <w:t>in unità energetiche</w:t>
      </w:r>
      <w:r>
        <w:t xml:space="preserve"> (</w:t>
      </w:r>
      <w:r w:rsidR="00766656">
        <w:t>t</w:t>
      </w:r>
      <w:r>
        <w:t xml:space="preserve">erajoule). </w:t>
      </w:r>
    </w:p>
    <w:p w14:paraId="5F74C679" w14:textId="77777777" w:rsidR="00B93CB2" w:rsidRDefault="00A014B9" w:rsidP="00A8174A">
      <w:pPr>
        <w:pStyle w:val="Nessunaspaziatura"/>
      </w:pPr>
      <w:r>
        <w:t xml:space="preserve">Essi sono distinti in primo luogo </w:t>
      </w:r>
      <w:r w:rsidRPr="006F389D">
        <w:t xml:space="preserve">secondo l’origine (prelievi dall’ambiente </w:t>
      </w:r>
      <w:r>
        <w:t xml:space="preserve">di risorse energetiche naturali o </w:t>
      </w:r>
      <w:r w:rsidRPr="006F389D">
        <w:t>importazioni) e la destinazione (residui verso l’ambiente, esportazioni e accumul</w:t>
      </w:r>
      <w:r>
        <w:t>azione all’interno dell’economia</w:t>
      </w:r>
      <w:r w:rsidRPr="006F389D">
        <w:t>.</w:t>
      </w:r>
      <w:r>
        <w:t xml:space="preserve"> I flussi sono classificati, più nel dettaglio, in 31 diverse categorie (7 per le risorse energetiche naturali, 20 per i prodotti energetici, 2 per i prodotti non energetici utilizzati per finalità energetiche e 2 per le perdite di energia e per gli altri residui energetici), che tengono conto delle specifiche caratteristiche fisiche e merceologiche dell’energia o dei materiali in cui è incorporata. </w:t>
      </w:r>
    </w:p>
    <w:p w14:paraId="3FBDA2F8" w14:textId="46053FFD" w:rsidR="00A014B9" w:rsidRPr="0079732B" w:rsidRDefault="00A014B9" w:rsidP="00A8174A">
      <w:pPr>
        <w:pStyle w:val="Nessunaspaziatura"/>
      </w:pPr>
      <w:r>
        <w:t>Per ognuna delle modalità di flusso si riporta l’origine e la destinazione distinte per attività produt</w:t>
      </w:r>
      <w:r w:rsidR="007565EF">
        <w:t>tive, famiglie, accumulazione, R</w:t>
      </w:r>
      <w:r>
        <w:t xml:space="preserve">esto del mondo, ambiente. Le attività di produzione sono classificate in 63 branche di attività economica (secondo la classificazione Ateco), mentre le attività di consumo delle famiglie sono ripartite in tre categorie secondo lo scopo dell’impiego (riscaldamento/raffrescamento, trasporti, altro). L’insieme dei conti </w:t>
      </w:r>
      <w:r w:rsidR="00992CA6">
        <w:t xml:space="preserve">Pefa </w:t>
      </w:r>
      <w:r>
        <w:t>consente inoltre il calcolo di indicatori, tra i quali il “Consumo di energia delle unità residenti” (anche noto come N</w:t>
      </w:r>
      <w:r w:rsidR="00992CA6">
        <w:t>deu</w:t>
      </w:r>
      <w:r>
        <w:t xml:space="preserve"> - </w:t>
      </w:r>
      <w:r w:rsidRPr="00CE7D0F">
        <w:rPr>
          <w:i/>
          <w:iCs/>
        </w:rPr>
        <w:t xml:space="preserve">Net </w:t>
      </w:r>
      <w:r w:rsidR="00992CA6" w:rsidRPr="00CE7D0F">
        <w:rPr>
          <w:i/>
          <w:iCs/>
        </w:rPr>
        <w:t>domestic energy use</w:t>
      </w:r>
      <w:r>
        <w:t>) utilizzato nei dati diffusi in questa Statistica Report nonché il raccordo tra quest’ultimo e l’indicatore “</w:t>
      </w:r>
      <w:r w:rsidRPr="00CE7D0F">
        <w:rPr>
          <w:i/>
          <w:iCs/>
        </w:rPr>
        <w:t>Gross inland energy consumption</w:t>
      </w:r>
      <w:r>
        <w:t xml:space="preserve"> (Giec)” desunto dal Bilancio </w:t>
      </w:r>
      <w:r w:rsidRPr="0079732B">
        <w:t xml:space="preserve">Energetico Nazionale (rispondente al principio del territorio geografico). I dati sono disponibili a livello nazionale. </w:t>
      </w:r>
    </w:p>
    <w:p w14:paraId="6921EB58" w14:textId="180A4469" w:rsidR="00A014B9" w:rsidRPr="00CE7D0F" w:rsidRDefault="00A014B9" w:rsidP="00CE7D0F">
      <w:pPr>
        <w:spacing w:after="120"/>
        <w:jc w:val="both"/>
        <w:rPr>
          <w:rFonts w:ascii="Arial" w:eastAsiaTheme="minorHAnsi" w:hAnsi="Arial" w:cs="Arial"/>
          <w:sz w:val="20"/>
          <w:szCs w:val="20"/>
          <w:lang w:eastAsia="en-US"/>
        </w:rPr>
      </w:pPr>
      <w:r w:rsidRPr="00CE7D0F">
        <w:rPr>
          <w:rFonts w:ascii="Arial" w:eastAsiaTheme="minorHAnsi" w:hAnsi="Arial" w:cs="Arial"/>
          <w:sz w:val="20"/>
          <w:szCs w:val="20"/>
          <w:lang w:eastAsia="en-US"/>
        </w:rPr>
        <w:t xml:space="preserve">La materia prelevata per l’utilizzo dell’economia viene restituita all’ambiente naturale in diverse forme. I </w:t>
      </w:r>
      <w:r w:rsidRPr="00CE7D0F">
        <w:rPr>
          <w:rFonts w:ascii="Arial" w:eastAsiaTheme="minorHAnsi" w:hAnsi="Arial" w:cs="Arial"/>
          <w:b/>
          <w:sz w:val="20"/>
          <w:szCs w:val="20"/>
          <w:lang w:eastAsia="en-US"/>
        </w:rPr>
        <w:t>Conti delle emissioni atmosferiche</w:t>
      </w:r>
      <w:r w:rsidRPr="00CE7D0F">
        <w:rPr>
          <w:rFonts w:ascii="Arial" w:eastAsiaTheme="minorHAnsi" w:hAnsi="Arial" w:cs="Arial"/>
          <w:sz w:val="20"/>
          <w:szCs w:val="20"/>
          <w:lang w:eastAsia="en-US"/>
        </w:rPr>
        <w:t xml:space="preserve"> (</w:t>
      </w:r>
      <w:r w:rsidR="003D1CA8" w:rsidRPr="00CE7D0F">
        <w:rPr>
          <w:rFonts w:ascii="Arial" w:eastAsiaTheme="minorHAnsi" w:hAnsi="Arial" w:cs="Arial"/>
          <w:sz w:val="20"/>
          <w:szCs w:val="20"/>
          <w:lang w:eastAsia="en-US"/>
        </w:rPr>
        <w:t>Aea</w:t>
      </w:r>
      <w:r w:rsidRPr="00CE7D0F">
        <w:rPr>
          <w:rFonts w:ascii="Arial" w:eastAsiaTheme="minorHAnsi" w:hAnsi="Arial" w:cs="Arial"/>
          <w:sz w:val="20"/>
          <w:szCs w:val="20"/>
          <w:lang w:eastAsia="en-US"/>
        </w:rPr>
        <w:t xml:space="preserve"> - </w:t>
      </w:r>
      <w:r w:rsidRPr="00CE7D0F">
        <w:rPr>
          <w:rFonts w:ascii="Arial" w:eastAsiaTheme="minorHAnsi" w:hAnsi="Arial" w:cs="Arial"/>
          <w:i/>
          <w:iCs/>
          <w:sz w:val="20"/>
          <w:szCs w:val="20"/>
          <w:lang w:eastAsia="en-US"/>
        </w:rPr>
        <w:t>Air emissions accounts</w:t>
      </w:r>
      <w:r w:rsidRPr="00CE7D0F">
        <w:rPr>
          <w:rFonts w:ascii="Arial" w:eastAsiaTheme="minorHAnsi" w:hAnsi="Arial" w:cs="Arial"/>
          <w:sz w:val="20"/>
          <w:szCs w:val="20"/>
          <w:lang w:eastAsia="en-US"/>
        </w:rPr>
        <w:t>, già noti come “Conti di tipo Namea”), descrivono una specifica modalità di restituzione della materia all’ambiente naturale, e precisamente il suo rilascio in atmosfera sotto forma di sostanza volatile, individuandone l’origine nelle attività produttive, articolate secondo la classificazione Ateco, o nelle attività delle famiglie (di riscaldamento, trasporto e altro). I dati sono disponibili a livello nazionale per 24 tipi di sostanze e tre aggregati derivati per i principali “temi ambientali”. Sono escluse le emissioni direttamente riconducibili a fenomeni naturali e al funzionamento degli ecosistemi, anche quando indotte da trasformazioni dell’ambiente dovute all’azione antropica (ad esempio dal cambiamento climatico). Le attività produttive generano direttamente emissioni attraverso i processi caratteristici dell’attività principale e di eventuali attività secondarie e ausiliarie come il riscaldamento e il trasporto in conto proprio</w:t>
      </w:r>
      <w:r w:rsidRPr="00CE7D0F">
        <w:rPr>
          <w:rStyle w:val="Rimandonotaapidipagina"/>
          <w:rFonts w:ascii="Arial" w:eastAsiaTheme="minorHAnsi" w:hAnsi="Arial" w:cs="Arial"/>
          <w:sz w:val="20"/>
          <w:szCs w:val="20"/>
          <w:lang w:eastAsia="en-US"/>
        </w:rPr>
        <w:footnoteReference w:id="2"/>
      </w:r>
      <w:r w:rsidRPr="00CE7D0F">
        <w:rPr>
          <w:rFonts w:ascii="Arial" w:eastAsiaTheme="minorHAnsi" w:hAnsi="Arial" w:cs="Arial"/>
          <w:sz w:val="20"/>
          <w:szCs w:val="20"/>
          <w:lang w:eastAsia="en-US"/>
        </w:rPr>
        <w:t xml:space="preserve">. Le imprese generano emissioni attraverso i processi produttivi che trasformano materiali e prodotti, in gran parte per via della combustione di prodotti energetici. Le famiglie generano emissioni atmosferiche utilizzando combustibili per il trasporto privato, il giardinaggio, il riscaldamento e gli usi di cucina e mediante l’uso di solventi e vernici. </w:t>
      </w:r>
    </w:p>
    <w:p w14:paraId="554E7459" w14:textId="1DF4DB47" w:rsidR="00A014B9" w:rsidRPr="00A35518" w:rsidRDefault="00A014B9" w:rsidP="00A35518">
      <w:pPr>
        <w:spacing w:after="120"/>
        <w:jc w:val="both"/>
        <w:rPr>
          <w:rFonts w:ascii="Arial" w:hAnsi="Arial" w:cs="Arial"/>
          <w:highlight w:val="yellow"/>
        </w:rPr>
      </w:pPr>
      <w:r w:rsidRPr="00CE7D0F">
        <w:rPr>
          <w:rFonts w:ascii="Arial" w:eastAsiaTheme="minorHAnsi" w:hAnsi="Arial" w:cs="Arial"/>
          <w:sz w:val="20"/>
          <w:szCs w:val="20"/>
          <w:lang w:eastAsia="en-US"/>
        </w:rPr>
        <w:t xml:space="preserve">Grazie alla coerenza metodologica dei dati del </w:t>
      </w:r>
      <w:r w:rsidR="003D1CA8" w:rsidRPr="00CE7D0F">
        <w:rPr>
          <w:rFonts w:ascii="Arial" w:eastAsiaTheme="minorHAnsi" w:hAnsi="Arial" w:cs="Arial"/>
          <w:sz w:val="20"/>
          <w:szCs w:val="20"/>
          <w:lang w:eastAsia="en-US"/>
        </w:rPr>
        <w:t>Pefa</w:t>
      </w:r>
      <w:r w:rsidRPr="00CE7D0F">
        <w:rPr>
          <w:rFonts w:ascii="Arial" w:eastAsiaTheme="minorHAnsi" w:hAnsi="Arial" w:cs="Arial"/>
          <w:sz w:val="20"/>
          <w:szCs w:val="20"/>
          <w:lang w:eastAsia="en-US"/>
        </w:rPr>
        <w:t xml:space="preserve"> e dell’</w:t>
      </w:r>
      <w:r w:rsidR="003D1CA8">
        <w:rPr>
          <w:rFonts w:ascii="Arial" w:eastAsiaTheme="minorHAnsi" w:hAnsi="Arial" w:cs="Arial"/>
          <w:sz w:val="20"/>
          <w:szCs w:val="20"/>
          <w:lang w:eastAsia="en-US"/>
        </w:rPr>
        <w:t>A</w:t>
      </w:r>
      <w:r w:rsidR="003D1CA8" w:rsidRPr="00CE7D0F">
        <w:rPr>
          <w:rFonts w:ascii="Arial" w:eastAsiaTheme="minorHAnsi" w:hAnsi="Arial" w:cs="Arial"/>
          <w:sz w:val="20"/>
          <w:szCs w:val="20"/>
          <w:lang w:eastAsia="en-US"/>
        </w:rPr>
        <w:t>ea</w:t>
      </w:r>
      <w:r w:rsidRPr="00CE7D0F">
        <w:rPr>
          <w:rFonts w:ascii="Arial" w:eastAsiaTheme="minorHAnsi" w:hAnsi="Arial" w:cs="Arial"/>
          <w:sz w:val="20"/>
          <w:szCs w:val="20"/>
          <w:lang w:eastAsia="en-US"/>
        </w:rPr>
        <w:t xml:space="preserve"> con i principi dei conti economici nazionali, è possibile confrontare il contributo delle attività produttive alla realizzazione di aggregati socio-economici </w:t>
      </w:r>
      <w:r w:rsidRPr="00A35518">
        <w:rPr>
          <w:rFonts w:ascii="Arial" w:eastAsiaTheme="minorHAnsi" w:hAnsi="Arial" w:cs="Arial"/>
          <w:sz w:val="20"/>
          <w:szCs w:val="20"/>
          <w:lang w:eastAsia="en-US"/>
        </w:rPr>
        <w:t xml:space="preserve">(produzione, valore aggiunto, occupazione) con il contributo alla generazione flussi energetici e di emissione, che rappresentano importanti pressioni potenziali ed effettive delle attività antropiche sull’ambiente naturale. I dati dei conti consentono inoltre il calcolo di indicatori rappresentativi dell’efficienza delle attività produttive come l’intensità energetica e quella di emissione (ad esempio consumo di energia/produzione, emissioni/unità di lavoro a tempo pieno); quanto più elevato è il valore dell’indicatore tanto meno efficiente risulta l’attività produttiva. </w:t>
      </w:r>
    </w:p>
    <w:p w14:paraId="3DD24AF5" w14:textId="5C416FCE" w:rsidR="00A014B9" w:rsidRPr="0079732B" w:rsidRDefault="00A014B9" w:rsidP="00A8174A">
      <w:pPr>
        <w:pStyle w:val="Nessunaspaziatura"/>
      </w:pPr>
      <w:r w:rsidRPr="0079732B">
        <w:lastRenderedPageBreak/>
        <w:t>La lettura basata sui conti ambientali espressi in unità di misura fisiche abbraccia sia la sfera ambientale sia quella economica, cogliendo i flussi nelle due direzioni (prelievi dall’ambiente e restituzioni all’ambiente</w:t>
      </w:r>
      <w:r w:rsidR="00A8174A">
        <w:t>,</w:t>
      </w:r>
      <w:r w:rsidRPr="0079732B">
        <w:t xml:space="preserve"> Figura </w:t>
      </w:r>
      <w:r w:rsidR="00A35518">
        <w:t>7</w:t>
      </w:r>
      <w:r w:rsidRPr="0079732B">
        <w:t xml:space="preserve">) e, nel caso dei flussi di energia, anche quelli interni (trasformazioni e consumi). </w:t>
      </w:r>
    </w:p>
    <w:p w14:paraId="47925D90" w14:textId="77777777" w:rsidR="00A014B9" w:rsidRPr="00CE7D0F" w:rsidRDefault="00A014B9" w:rsidP="00CE7D0F">
      <w:pPr>
        <w:pStyle w:val="Titolo2"/>
        <w:autoSpaceDE w:val="0"/>
        <w:autoSpaceDN w:val="0"/>
        <w:adjustRightInd w:val="0"/>
        <w:jc w:val="both"/>
        <w:rPr>
          <w:rFonts w:ascii="Arial" w:hAnsi="Arial" w:cs="Arial"/>
          <w:b/>
          <w:bCs w:val="0"/>
          <w:i w:val="0"/>
          <w:color w:val="1F497D" w:themeColor="text2"/>
          <w:sz w:val="22"/>
          <w:szCs w:val="22"/>
        </w:rPr>
      </w:pPr>
      <w:r w:rsidRPr="00CE7D0F">
        <w:rPr>
          <w:rFonts w:ascii="Arial" w:hAnsi="Arial" w:cs="Arial"/>
          <w:b/>
          <w:bCs w:val="0"/>
          <w:i w:val="0"/>
          <w:color w:val="1F497D" w:themeColor="text2"/>
          <w:sz w:val="22"/>
          <w:szCs w:val="22"/>
        </w:rPr>
        <w:t>La contabilità ambientale monetaria prodotta dall’Istat</w:t>
      </w:r>
    </w:p>
    <w:p w14:paraId="551C3EDE" w14:textId="77777777" w:rsidR="00A014B9" w:rsidRPr="00A83649" w:rsidRDefault="00A014B9" w:rsidP="00A8174A">
      <w:pPr>
        <w:pStyle w:val="Nessunaspaziatura"/>
      </w:pPr>
      <w:r>
        <w:t xml:space="preserve">Diversamente da quelli fisici, </w:t>
      </w:r>
      <w:r w:rsidRPr="006F389D">
        <w:t xml:space="preserve">i flussi descritti dai </w:t>
      </w:r>
      <w:r w:rsidRPr="00214848">
        <w:rPr>
          <w:b/>
        </w:rPr>
        <w:t>conti ambientali monetari</w:t>
      </w:r>
      <w:r w:rsidRPr="006F389D">
        <w:t xml:space="preserve">, </w:t>
      </w:r>
      <w:r>
        <w:t>s</w:t>
      </w:r>
      <w:r w:rsidRPr="006F389D">
        <w:t xml:space="preserve">i collocano interamente all’interno della sfera economica. </w:t>
      </w:r>
      <w:r>
        <w:t xml:space="preserve">Essi </w:t>
      </w:r>
      <w:r w:rsidRPr="006F389D">
        <w:t>descriv</w:t>
      </w:r>
      <w:r>
        <w:t>ono</w:t>
      </w:r>
      <w:r w:rsidRPr="006F389D">
        <w:t xml:space="preserve"> le azioni che il sistema economico attiva per la protezione ambientale o la </w:t>
      </w:r>
      <w:r w:rsidRPr="00B06AFD">
        <w:t>gestione</w:t>
      </w:r>
      <w:r w:rsidRPr="006F389D">
        <w:t xml:space="preserve"> delle risorse naturali, producendo beni e servizi utili a questi scopi e sostenendo costi per le medesime finalità. La lettura della relazione tra ambiente naturale e sistema antropico, in questo caso consiste</w:t>
      </w:r>
      <w:r>
        <w:t xml:space="preserve"> </w:t>
      </w:r>
      <w:r w:rsidRPr="006F389D">
        <w:t xml:space="preserve">nell’enucleare dai conti economici nazionali la componente di input di lavoro, produzione, valore aggiunto, consumi, investimenti, scambi con l’estero, che risponde a finalità ambientali. </w:t>
      </w:r>
      <w:r>
        <w:t xml:space="preserve">Costituiscono finalità ambientali la conservazione della natura e la riduzione e prevenzione delle pressioni del sistema antropico sull’ambiente naturale </w:t>
      </w:r>
      <w:r w:rsidRPr="00F640D3">
        <w:t xml:space="preserve">(ad esempio la </w:t>
      </w:r>
      <w:r>
        <w:t xml:space="preserve">tutela della biodiversità, la </w:t>
      </w:r>
      <w:r w:rsidRPr="00F640D3">
        <w:t>depurazione delle acque reflue</w:t>
      </w:r>
      <w:r>
        <w:t xml:space="preserve"> e la gestione dei rifiuti) – o la gestione delle risorse naturali attraverso la loro </w:t>
      </w:r>
      <w:r w:rsidRPr="00CF3497">
        <w:t>conservazione,</w:t>
      </w:r>
      <w:r>
        <w:t xml:space="preserve"> </w:t>
      </w:r>
      <w:r w:rsidRPr="00CF3497">
        <w:t xml:space="preserve">mantenimento e tutela </w:t>
      </w:r>
      <w:r>
        <w:t>(ad esempio le attività di recupero dei materiali, gli interventi per l’efficienza energetica o la produzione di energia da fonti rinnovabili). Nel dettaglio, l</w:t>
      </w:r>
      <w:r w:rsidRPr="00A83649">
        <w:t xml:space="preserve">e due principali finalità ambientali </w:t>
      </w:r>
      <w:r>
        <w:t xml:space="preserve">contemplate dai conti </w:t>
      </w:r>
      <w:r w:rsidRPr="00A83649">
        <w:t xml:space="preserve">sono descritte dalle due classificazioni di riferimento: </w:t>
      </w:r>
    </w:p>
    <w:p w14:paraId="37A4B785" w14:textId="35E5D068" w:rsidR="00A014B9" w:rsidRPr="00A83649" w:rsidRDefault="00A014B9" w:rsidP="00A8174A">
      <w:pPr>
        <w:pStyle w:val="Nessunaspaziatura"/>
        <w:numPr>
          <w:ilvl w:val="0"/>
          <w:numId w:val="39"/>
        </w:numPr>
      </w:pPr>
      <w:r w:rsidRPr="00CE7D0F">
        <w:rPr>
          <w:rFonts w:eastAsia="Arial"/>
          <w:b/>
          <w:bCs/>
          <w:iCs/>
        </w:rPr>
        <w:t>protezione dell'ambiente</w:t>
      </w:r>
      <w:r w:rsidRPr="00CE7D0F">
        <w:rPr>
          <w:b/>
          <w:bCs/>
        </w:rPr>
        <w:t>,</w:t>
      </w:r>
      <w:r w:rsidRPr="009618C4">
        <w:t xml:space="preserve"> </w:t>
      </w:r>
      <w:r w:rsidRPr="00A83649">
        <w:t>articola</w:t>
      </w:r>
      <w:r>
        <w:t>ta</w:t>
      </w:r>
      <w:r w:rsidRPr="00A83649">
        <w:t xml:space="preserve"> secondo le classi (o raggruppamenti di classi) della Classificazione delle attività per la protezione dell’ambiente (</w:t>
      </w:r>
      <w:r w:rsidR="0020267C" w:rsidRPr="00A83649">
        <w:t>Cepa</w:t>
      </w:r>
      <w:r w:rsidRPr="00A83649">
        <w:t xml:space="preserve">): 1. protezione dell’aria e del clima; 2. gestione delle acque reflue; 3. gestione dei rifiuti; 4. protezione del suolo e delle acque del sottosuolo; 5. abbattimento del rumore e delle vibrazioni; 6. protezione della biodiversità e del paesaggio; 7. protezione dalle radiazioni; 8. ricerca e sviluppo per la protezione dell’ambiente; 9. altre attività di protezione dell’ambiente. Sono escluse le attività che, pur esercitando un impatto favorevole sull’ambiente, rispondono in primo luogo a esigenze tecniche o a requisiti interni di igiene o di protezione e sicurezza di un'impresa o di un'altra istituzione; sono inoltre escluse la prevenzione dei rischi naturali (frane, inondazioni, ecc.) e attività quali il risparmio energetico o il risparmio di materie prime che appartengono al campo della gestione delle risorse naturali; </w:t>
      </w:r>
    </w:p>
    <w:p w14:paraId="4521403C" w14:textId="1B9A7F88" w:rsidR="00A014B9" w:rsidRPr="00A83649" w:rsidRDefault="00A014B9" w:rsidP="00A8174A">
      <w:pPr>
        <w:pStyle w:val="Nessunaspaziatura"/>
        <w:numPr>
          <w:ilvl w:val="0"/>
          <w:numId w:val="39"/>
        </w:numPr>
      </w:pPr>
      <w:r w:rsidRPr="00CE7D0F">
        <w:rPr>
          <w:rFonts w:eastAsia="Arial"/>
          <w:b/>
          <w:bCs/>
          <w:iCs/>
        </w:rPr>
        <w:t>gestione delle risorse</w:t>
      </w:r>
      <w:r w:rsidRPr="00CE7D0F">
        <w:rPr>
          <w:rFonts w:eastAsia="Arial"/>
          <w:b/>
          <w:bCs/>
          <w:i/>
        </w:rPr>
        <w:t xml:space="preserve">, </w:t>
      </w:r>
      <w:r w:rsidRPr="00A83649">
        <w:t>articola</w:t>
      </w:r>
      <w:r>
        <w:t>ta</w:t>
      </w:r>
      <w:r w:rsidRPr="00A83649">
        <w:t xml:space="preserve"> secondo le classi (o raggruppamenti di classi) della Classificazione delle attività per la gestione delle risorse naturali (</w:t>
      </w:r>
      <w:r w:rsidR="00EF0247" w:rsidRPr="00A83649">
        <w:t>Crema</w:t>
      </w:r>
      <w:r w:rsidRPr="00A83649">
        <w:t xml:space="preserve">): 10. Gestione delle acque; 11. Gestione delle risorse forestali; 12. Gestione della fauna e della flora selvatiche; 13. Gestione delle risorse energetiche (13A. Produzione di energia da fonti rinnovabili; 13B. Gestione e risparmio di energia/calore; 13C. Riduzione dell'utilizzo delle energie fossili come materie prime); 14. Gestione dei minerali; 15. Attività di ricerca e sviluppo in materia di gestione delle risorse; 16. Altre attività di gestione delle risorse. </w:t>
      </w:r>
    </w:p>
    <w:p w14:paraId="27AA0C40" w14:textId="1352D595" w:rsidR="00A014B9" w:rsidRPr="006F389D" w:rsidRDefault="00A014B9" w:rsidP="00A8174A">
      <w:pPr>
        <w:pStyle w:val="Nessunaspaziatura"/>
      </w:pPr>
      <w:r>
        <w:t>Nel caso dei flussi connessi alla fiscalità, le</w:t>
      </w:r>
      <w:r w:rsidRPr="006F389D">
        <w:t xml:space="preserve"> imposte</w:t>
      </w:r>
      <w:r>
        <w:t xml:space="preserve"> ambientali non sono individuate in base alla eventuale finalità ambientale di utilizzo del gettito; il criterio di selezione riguarda invece le </w:t>
      </w:r>
      <w:r w:rsidRPr="006F389D">
        <w:t xml:space="preserve">basi impositive </w:t>
      </w:r>
      <w:r>
        <w:t xml:space="preserve">e contempla quelle </w:t>
      </w:r>
      <w:r w:rsidRPr="006F389D">
        <w:t>che hanno un impatto negativo sull’ambiente</w:t>
      </w:r>
      <w:r>
        <w:t>, come ad esempio i prodotti energetici. Attraverso l’effetto sui costi dei prodotti</w:t>
      </w:r>
      <w:r w:rsidRPr="006F389D">
        <w:t xml:space="preserve">, </w:t>
      </w:r>
      <w:r>
        <w:t xml:space="preserve">strumenti fiscali di questo tipo sono potenzialmente in grado di </w:t>
      </w:r>
      <w:r w:rsidRPr="006F389D">
        <w:t xml:space="preserve">orientare le scelte le scelte di produttori e consumatori in senso </w:t>
      </w:r>
      <w:r>
        <w:t xml:space="preserve">meno dannoso per </w:t>
      </w:r>
      <w:r w:rsidRPr="006F389D">
        <w:t xml:space="preserve">l’ambiente. </w:t>
      </w:r>
      <w:r w:rsidR="00EF0247">
        <w:t>Nell’ambito dei C</w:t>
      </w:r>
      <w:r>
        <w:t xml:space="preserve">onti ambientali monetari, l’Istat produce regolarmente i </w:t>
      </w:r>
      <w:r w:rsidRPr="006F389D">
        <w:t xml:space="preserve">Conti dei </w:t>
      </w:r>
      <w:r>
        <w:t>beni e servizi ambientali, delle spese per la protezione dell’ambiente</w:t>
      </w:r>
      <w:r w:rsidRPr="006F389D">
        <w:t>, de</w:t>
      </w:r>
      <w:r>
        <w:t>lle imposte ambientali per attività economica.</w:t>
      </w:r>
    </w:p>
    <w:p w14:paraId="41A4AD8B" w14:textId="77777777" w:rsidR="00A014B9" w:rsidRPr="002150FB" w:rsidRDefault="00A014B9" w:rsidP="00A8174A">
      <w:pPr>
        <w:pStyle w:val="Nessunaspaziatura"/>
      </w:pPr>
      <w:r>
        <w:t xml:space="preserve">Il </w:t>
      </w:r>
      <w:r>
        <w:rPr>
          <w:b/>
        </w:rPr>
        <w:t>C</w:t>
      </w:r>
      <w:r w:rsidRPr="009679BA">
        <w:rPr>
          <w:b/>
        </w:rPr>
        <w:t>onto dei beni e servizi ambientali</w:t>
      </w:r>
      <w:r>
        <w:t xml:space="preserve"> </w:t>
      </w:r>
      <w:r w:rsidRPr="007329F6">
        <w:t>registra e presenta</w:t>
      </w:r>
      <w:r>
        <w:t xml:space="preserve"> </w:t>
      </w:r>
      <w:r w:rsidRPr="007329F6">
        <w:t xml:space="preserve">dati sulle attività di produzione che generano prodotti ambientali. </w:t>
      </w:r>
      <w:r>
        <w:t>Noto anche come conto delle ecoindustrie, a dispetto di tale denominazione, il conto n</w:t>
      </w:r>
      <w:r w:rsidRPr="002150FB">
        <w:t xml:space="preserve">on identifica solo </w:t>
      </w:r>
      <w:r>
        <w:t xml:space="preserve">i </w:t>
      </w:r>
      <w:r w:rsidRPr="002150FB">
        <w:t xml:space="preserve">produttori specializzati in produzioni </w:t>
      </w:r>
      <w:r>
        <w:t>ambientali bensì si concentra su tutti i beni e servizi con finalità ambientale indipendentemente da chi li produce.</w:t>
      </w:r>
    </w:p>
    <w:p w14:paraId="65A29379" w14:textId="0A87FCF5" w:rsidR="00A014B9" w:rsidRPr="00A83649" w:rsidRDefault="00A014B9" w:rsidP="00A8174A">
      <w:pPr>
        <w:pStyle w:val="Nessunaspaziatura"/>
      </w:pPr>
      <w:r>
        <w:t>U</w:t>
      </w:r>
      <w:r w:rsidRPr="00A83649">
        <w:t>n</w:t>
      </w:r>
      <w:r w:rsidR="009618C4">
        <w:t>’</w:t>
      </w:r>
      <w:r w:rsidRPr="00A83649">
        <w:t xml:space="preserve">attività </w:t>
      </w:r>
      <w:r>
        <w:t>è considerata “</w:t>
      </w:r>
      <w:r w:rsidRPr="00A83649">
        <w:t>ambientale</w:t>
      </w:r>
      <w:r>
        <w:t>”</w:t>
      </w:r>
      <w:r w:rsidRPr="00A83649">
        <w:t xml:space="preserve"> quando dà luogo alla produzione di </w:t>
      </w:r>
      <w:r w:rsidRPr="00A35518">
        <w:rPr>
          <w:rFonts w:eastAsia="Arial"/>
          <w:b/>
          <w:bCs/>
          <w:iCs/>
        </w:rPr>
        <w:t>prodotti ambientali</w:t>
      </w:r>
      <w:r w:rsidRPr="00A83649">
        <w:rPr>
          <w:rFonts w:eastAsia="Arial"/>
          <w:i/>
        </w:rPr>
        <w:t>,</w:t>
      </w:r>
      <w:r w:rsidRPr="00A83649">
        <w:t xml:space="preserve"> ovvero di beni e servizi che direttamente contribuiscono alla finalità di protezione dell’ambiente o di gestione delle risorse. </w:t>
      </w:r>
    </w:p>
    <w:p w14:paraId="29006AF7" w14:textId="77777777" w:rsidR="00A014B9" w:rsidRPr="00A83649" w:rsidRDefault="00A014B9" w:rsidP="00A8174A">
      <w:pPr>
        <w:pStyle w:val="Nessunaspaziatura"/>
      </w:pPr>
      <w:r w:rsidRPr="00A83649">
        <w:t xml:space="preserve">Per circoscrivere e uniformare il perimetro del conto, Eurostat ha predisposto un </w:t>
      </w:r>
      <w:r w:rsidRPr="00A83649">
        <w:rPr>
          <w:rFonts w:eastAsia="Arial"/>
          <w:i/>
        </w:rPr>
        <w:t>Indicative Compendium</w:t>
      </w:r>
      <w:r w:rsidRPr="00A83649">
        <w:rPr>
          <w:vertAlign w:val="superscript"/>
        </w:rPr>
        <w:footnoteReference w:id="3"/>
      </w:r>
      <w:r w:rsidRPr="00A83649">
        <w:t>, costituito da un elenco di beni e servizi ambientali e di attività economiche che li producono. Si tratta di una lista indicativa in quanto non esclude che alcuni dei prodotti elencati non siano rilevanti in alcuni paesi come pure che esistano altri beni, servizi e attività economiche ambientali rilevanti a livello nazionale.</w:t>
      </w:r>
      <w:r>
        <w:t xml:space="preserve"> </w:t>
      </w:r>
    </w:p>
    <w:p w14:paraId="195CA478" w14:textId="780C9829" w:rsidR="00C36831" w:rsidRDefault="00A014B9" w:rsidP="00A8174A">
      <w:pPr>
        <w:pStyle w:val="Nessunaspaziatura"/>
      </w:pPr>
      <w:r w:rsidRPr="00A83649">
        <w:t>Dal criterio enunciato, secondo il quale i prodotti e le attività ambientali devono essere specificamente finalizzati alla protezione delle risorse o alla gestione delle risorse naturali, deriva l’esclusione dal perimetro del conto dei beni e servizi</w:t>
      </w:r>
      <w:r>
        <w:t xml:space="preserve"> ambientali</w:t>
      </w:r>
      <w:r w:rsidRPr="00A83649">
        <w:t xml:space="preserve">, delle attività di produzione che utilizzano come materia prima prodotti derivati da materiali di recupero, quali la carta prodotta da carta riciclata o l’alluminio prodotto da materiale di recupero. In questi casi la produzione realizzata non contribuisce di per sé alla riduzione dell’uso delle risorse naturali, che si realizza </w:t>
      </w:r>
      <w:r>
        <w:t xml:space="preserve">a monte </w:t>
      </w:r>
      <w:r w:rsidRPr="00A83649">
        <w:t xml:space="preserve">nella fase del recupero del materiale e nella produzione delle materie prime seconde. </w:t>
      </w:r>
      <w:r>
        <w:t xml:space="preserve">I dati sono disponibili a livello nazionale per le seguenti variabili: </w:t>
      </w:r>
      <w:r w:rsidRPr="007329F6">
        <w:t>produzione, esportazioni di origine interna cioè di prodotti realizzati sul territorio economico (di cui della produzione), valore aggiunto, occupazione. Per tutte le variabili è prevista la disaggregazione secondo la classificazione delle attività economiche N</w:t>
      </w:r>
      <w:r>
        <w:t>ace</w:t>
      </w:r>
      <w:r w:rsidRPr="007329F6">
        <w:t xml:space="preserve"> Rev. 2 (livello di aggrega</w:t>
      </w:r>
      <w:r w:rsidR="00BB5668">
        <w:t>zione A*21 come definito nel Sec</w:t>
      </w:r>
      <w:r w:rsidRPr="007329F6">
        <w:t xml:space="preserve">2010) e secondo le classi o </w:t>
      </w:r>
      <w:r>
        <w:t xml:space="preserve">i </w:t>
      </w:r>
      <w:r w:rsidRPr="007329F6">
        <w:t xml:space="preserve">raggruppamenti di classi della </w:t>
      </w:r>
      <w:r w:rsidRPr="007329F6">
        <w:lastRenderedPageBreak/>
        <w:t>classificazione delle attività per la protezione dell'ambiente (</w:t>
      </w:r>
      <w:r w:rsidR="00BB5668" w:rsidRPr="007329F6">
        <w:t>Cepa</w:t>
      </w:r>
      <w:r w:rsidRPr="007329F6">
        <w:t>) e della classificazione delle attività di gestione delle risorse (</w:t>
      </w:r>
      <w:r w:rsidR="00BB5668" w:rsidRPr="007329F6">
        <w:t>Crema</w:t>
      </w:r>
      <w:r w:rsidRPr="007329F6">
        <w:t>)</w:t>
      </w:r>
      <w:r>
        <w:t xml:space="preserve">. </w:t>
      </w:r>
    </w:p>
    <w:p w14:paraId="10144FB0" w14:textId="6A9BF71F" w:rsidR="00A014B9" w:rsidRPr="00A83649" w:rsidRDefault="00A014B9" w:rsidP="00A8174A">
      <w:pPr>
        <w:pStyle w:val="Nessunaspaziatura"/>
      </w:pPr>
      <w:r>
        <w:t xml:space="preserve">Le stime diffuse nella presente Statistica Report, </w:t>
      </w:r>
      <w:r w:rsidRPr="007329F6">
        <w:t xml:space="preserve">sono riferite </w:t>
      </w:r>
      <w:r>
        <w:t xml:space="preserve">per la prima volta </w:t>
      </w:r>
      <w:r w:rsidRPr="007329F6">
        <w:t xml:space="preserve">all’intera economia, includendo non solo la componente della produzione scambiata sul mercato (componente </w:t>
      </w:r>
      <w:r w:rsidRPr="00A35518">
        <w:rPr>
          <w:i/>
          <w:iCs/>
        </w:rPr>
        <w:t>market</w:t>
      </w:r>
      <w:r w:rsidRPr="007329F6">
        <w:t xml:space="preserve">), ma anche quella realizzata da operatori non </w:t>
      </w:r>
      <w:r w:rsidRPr="00A35518">
        <w:rPr>
          <w:i/>
          <w:iCs/>
        </w:rPr>
        <w:t>market</w:t>
      </w:r>
      <w:r w:rsidRPr="007329F6">
        <w:t xml:space="preserve"> (</w:t>
      </w:r>
      <w:r w:rsidR="007F3CCA">
        <w:t>Pubblica amministrazione</w:t>
      </w:r>
      <w:r w:rsidRPr="007329F6">
        <w:t xml:space="preserve"> e istituzioni sociali al servizio delle famiglie) e la produzione realizzata in proprio dagli operatori economici (incluse le famiglie nel loro ruolo di produttori) e destinata a essere reimpiegata nel processo produttivo (ad esempio attività di recupero di materiali da reimmettere nel processo di produzione) o al proprio consumo finale (ad esempio l’energia solare prodotta e consumata all’interno delle famiglie).</w:t>
      </w:r>
    </w:p>
    <w:p w14:paraId="7641D120" w14:textId="328E9805" w:rsidR="00A014B9" w:rsidRDefault="00A014B9" w:rsidP="00A8174A">
      <w:pPr>
        <w:pStyle w:val="Nessunaspaziatura"/>
      </w:pPr>
      <w:r w:rsidRPr="00513480">
        <w:t>I</w:t>
      </w:r>
      <w:r>
        <w:rPr>
          <w:b/>
        </w:rPr>
        <w:t xml:space="preserve"> </w:t>
      </w:r>
      <w:r w:rsidRPr="00162913">
        <w:rPr>
          <w:b/>
        </w:rPr>
        <w:t>Conti delle spese per la protezione dell’ambiente</w:t>
      </w:r>
      <w:r>
        <w:t xml:space="preserve"> (</w:t>
      </w:r>
      <w:r w:rsidRPr="00A35518">
        <w:rPr>
          <w:i/>
          <w:iCs/>
        </w:rPr>
        <w:t xml:space="preserve">Environmental </w:t>
      </w:r>
      <w:r w:rsidR="00BB5668" w:rsidRPr="00A35518">
        <w:rPr>
          <w:i/>
          <w:iCs/>
        </w:rPr>
        <w:t>protection expenditure accounts</w:t>
      </w:r>
      <w:r w:rsidR="00BB5668">
        <w:t xml:space="preserve"> </w:t>
      </w:r>
      <w:r>
        <w:t xml:space="preserve">- Epea), misurano le risorse economiche messe in campo per le finalità di protezione dell’ambiente come definite dalla </w:t>
      </w:r>
      <w:r w:rsidRPr="00097F53">
        <w:t>Classificazione delle attività per la protezione dell’ambiente (</w:t>
      </w:r>
      <w:r w:rsidR="00BB5668" w:rsidRPr="007329F6">
        <w:t>Cepa</w:t>
      </w:r>
      <w:r w:rsidRPr="00097F53">
        <w:t>)</w:t>
      </w:r>
      <w:r>
        <w:t xml:space="preserve">. A oggi, i dati disponibili in Italia e nella Ue non includono le spese sostenute per le finalità di gestione delle risorse naturali, ambito che è invece coperto dalle stime sulla produzione. I conti Epea descrivono le principali fasi del circuito della spesa ambientale, che comprendono la formazione dell’offerta e la domanda dei diversi servizi ambientali, gli investimenti per la realizzazione di tali servizi, nonché i trasferimenti attraverso i quali </w:t>
      </w:r>
      <w:r w:rsidR="007F3CCA">
        <w:t>Pubblica amministrazione</w:t>
      </w:r>
      <w:r w:rsidR="007565EF">
        <w:t xml:space="preserve"> e Resto del m</w:t>
      </w:r>
      <w:r>
        <w:t xml:space="preserve">ondo finanziano le spese ambientali di altri soggetti. Le transazioni sono </w:t>
      </w:r>
      <w:r w:rsidRPr="00097F53">
        <w:t>articola</w:t>
      </w:r>
      <w:r>
        <w:t>te</w:t>
      </w:r>
      <w:r w:rsidRPr="00097F53">
        <w:t xml:space="preserve"> secondo le classi (o raggruppamenti di classi) della Classificazione </w:t>
      </w:r>
      <w:r w:rsidR="00BB5668" w:rsidRPr="007329F6">
        <w:t>Cepa</w:t>
      </w:r>
      <w:r>
        <w:t xml:space="preserve"> e distinguono inoltre sia il settore istituzionale che le effettua - </w:t>
      </w:r>
      <w:r w:rsidR="007F3CCA">
        <w:t>Pubblica amministrazione</w:t>
      </w:r>
      <w:r w:rsidRPr="00097F53">
        <w:t xml:space="preserve"> </w:t>
      </w:r>
      <w:r>
        <w:t>e Istituzioni sociali senza scopo di lucro, Imprese, Famiglie - sia il ruolo da esso rivestito nel campo della salvaguardia ambientale: produttore di servizi ambientali, utilizzatore di beni e servizi ambientali, finanziatore delle spese ambientali sostenute da altri operatori (solo per la Pubbli</w:t>
      </w:r>
      <w:r w:rsidR="007565EF">
        <w:t>ca amministrazione e Resto del m</w:t>
      </w:r>
      <w:r>
        <w:t>ondo) o beneficiario di trasferimenti connessi alla tutela dell’ambiente. Dai conti Epea si ricava l’aggregato della ‘spesa nazionale per la protezione dell’ambiente’ diffuso in questa Statistica Report e definito come somma di: consumi finali di servizi di protezione dell'ambiente delle unità residenti, consumi intermedi di servizi di protezione dell'ambiente delle unità residenti con esclusione dei produttori specializzati, investimenti fissi lordi per la realizzazione delle attività di protezione dell'ambiente, trasferimenti per la protezione dell'ambiente che non sono la contropartita dei precedenti aggregati, men</w:t>
      </w:r>
      <w:r w:rsidR="007565EF">
        <w:t>o i finanziamenti da parte del R</w:t>
      </w:r>
      <w:r>
        <w:t>esto del mondo.</w:t>
      </w:r>
    </w:p>
    <w:p w14:paraId="42285BBA" w14:textId="77777777" w:rsidR="006865B0" w:rsidRDefault="00A014B9" w:rsidP="00A8174A">
      <w:pPr>
        <w:pStyle w:val="Nessunaspaziatura"/>
      </w:pPr>
      <w:r>
        <w:t xml:space="preserve">Gli strumenti fiscali, attraverso l’effetto esercitato sul costo dei prodotti, possono indirizzare i consumatori verso comportamenti meno dannosi per l’ambiente, indipendentemente da esplicite finalità ambientali del legislatore. Per questo i conti ambientali misurano il gettito corrisposto dai vari soggetti economici in relazione agli strumenti fiscali che gravano su basi impositive dannose per l’ambiente nell’ambito delle risposte del sistema socioeconomico alle sfide ambientali. Le </w:t>
      </w:r>
      <w:r w:rsidRPr="00781005">
        <w:rPr>
          <w:b/>
        </w:rPr>
        <w:t>imposte ambientali</w:t>
      </w:r>
      <w:r>
        <w:t xml:space="preserve">, in quanto appartenenti all’insieme più generale delle imposte, costituiscono prelievi obbligatori non commisurati ai benefici che il singolo riceve dalla Pubblica Amministrazione. Secondo le linee guida internazionali, un’imposta è ambientale se la sua base impositiva è ‘costituita da una grandezza fisica (eventualmente sostituita da una proxy) che ha un impatto negativo provato e specifico sull’ambiente’. Le basi impositive comprendono ad esempio l’uso di prodotti energetici o le emissioni di sostanze inquinanti. Poiché nella identificazione delle imposte ambientali non è determinante l’obiettivo dell’imposta espresso nella norma che introduce lo strumento fiscale, nel novero delle imposte ambientali sono incluse sia imposte introdotte con esplicite finalità di tipo ambientale, sia imposte in cui una tale finalità non si ravvisa nella formulazione normativa. I dati diffusi dall’Istat distinguono il gettito delle imposte ambientali secondo il soggetto economico che lo corrisponde e la categoria dell’imposta (in base ad una classificazione definita in linee guida europee). I soggetti economici comprendono le attività residenti che producono beni e servizi (articolate in base alla classificazione delle attività economiche Nace Rev. 2), le famiglie consumatrici e le unità non residenti (che comprendono famiglie straniere e attività produttive non residenti che operano sul territorio italiano). Le categorie comprendono energia, trasporti e inquinamento. </w:t>
      </w:r>
    </w:p>
    <w:p w14:paraId="5600AFAF" w14:textId="0194BD21" w:rsidR="00A014B9" w:rsidRDefault="00A014B9" w:rsidP="00A8174A">
      <w:pPr>
        <w:pStyle w:val="Nessunaspaziatura"/>
      </w:pPr>
      <w:r>
        <w:t>Le imposte sull’energia includono tutte le imposte sui prodotti energetici utilizzati sia per finalità di trasporto (si tratta soprattutto di benzina e gasolio) sia per usi stazionari (soprattutto oli combustibili, gas naturale, carbone ed elettricità). Tra le imposte sui trasporti rientrano principalmente le imposte legate alla proprietà e all’utilizzo di veicoli. Sono comprese inoltre le imposte relative ad altri mezzi di trasporto e servizi di trasporto (ad esempio aerei) purché coerenti con la definizione generale di imposte ambientali. Le imposte sull’inquinamento includono le imposte sulle emissioni atmosferiche o sui reflui, sulla gestione dei rifiuti e sul rumore; fa eccezione l’imposta sulla CO</w:t>
      </w:r>
      <w:r w:rsidRPr="00AE3E1A">
        <w:rPr>
          <w:vertAlign w:val="subscript"/>
        </w:rPr>
        <w:t>2</w:t>
      </w:r>
      <w:r>
        <w:t xml:space="preserve"> che rientra nel gruppo delle imposte sull’energia. Non si riscontrano in Italia imposte ambientali per la quarta categoria contemplata dalle linee guida europee, che riguarda le imposte che gravano sul prelievo di risorse naturali. </w:t>
      </w:r>
    </w:p>
    <w:p w14:paraId="7360BE8A" w14:textId="77777777" w:rsidR="00A014B9" w:rsidRPr="00CE7D0F" w:rsidRDefault="00A014B9" w:rsidP="00CE7D0F">
      <w:pPr>
        <w:pStyle w:val="Titolo2"/>
        <w:autoSpaceDE w:val="0"/>
        <w:autoSpaceDN w:val="0"/>
        <w:adjustRightInd w:val="0"/>
        <w:jc w:val="both"/>
        <w:rPr>
          <w:rFonts w:ascii="Arial" w:hAnsi="Arial" w:cs="Arial"/>
          <w:b/>
          <w:bCs w:val="0"/>
          <w:i w:val="0"/>
          <w:color w:val="1F497D" w:themeColor="text2"/>
          <w:sz w:val="22"/>
          <w:szCs w:val="22"/>
        </w:rPr>
      </w:pPr>
      <w:r w:rsidRPr="00CE7D0F">
        <w:rPr>
          <w:rFonts w:ascii="Arial" w:hAnsi="Arial" w:cs="Arial"/>
          <w:b/>
          <w:bCs w:val="0"/>
          <w:i w:val="0"/>
          <w:color w:val="1F497D" w:themeColor="text2"/>
          <w:sz w:val="22"/>
          <w:szCs w:val="22"/>
        </w:rPr>
        <w:t xml:space="preserve">Popolazione di riferimento </w:t>
      </w:r>
    </w:p>
    <w:p w14:paraId="617A9889" w14:textId="23FE4E71" w:rsidR="00A014B9" w:rsidRDefault="00A014B9" w:rsidP="00A8174A">
      <w:pPr>
        <w:pStyle w:val="Nessunaspaziatura"/>
      </w:pPr>
      <w:r>
        <w:t>I conti ambientali sono riferiti alle attività di produzione esercitate dalle unità residenti. In coerenza con il sistema dei conti nazionali, il settore dei beni e servizi ambientali identifica come residenti le unità che hanno il proprio centro di interesse economico prevalente nel territorio economico del paese — ossia allorquando esercitano per un lungo periodo (un anno o più) attività economiche su tale territorio. (S</w:t>
      </w:r>
      <w:r w:rsidR="00BB5668">
        <w:t>ec</w:t>
      </w:r>
      <w:r>
        <w:t xml:space="preserve">2010 § 1.61). </w:t>
      </w:r>
    </w:p>
    <w:p w14:paraId="373AA8E5" w14:textId="4C9CACCD" w:rsidR="00A014B9" w:rsidRDefault="00A014B9" w:rsidP="00A8174A">
      <w:pPr>
        <w:pStyle w:val="Nessunaspaziatura"/>
      </w:pPr>
      <w:r>
        <w:t xml:space="preserve">Fanno eccezione a tale principio i conti dei flussi di materia, per gli aggregati relativi agli scambi con l’estero, per i quali non è sufficiente il trasferimento della proprietà economica ma è necessario l’attraversamento delle frontiere. Inoltre questi conti adottano, per la contabilizzazione delle biomasse coltivate prelevate, il cosiddetto </w:t>
      </w:r>
      <w:r>
        <w:lastRenderedPageBreak/>
        <w:t>“harvest approach”, laddove una applicazione stretta dei principi del S</w:t>
      </w:r>
      <w:r w:rsidR="00BB5668">
        <w:t>ec</w:t>
      </w:r>
      <w:r>
        <w:t xml:space="preserve"> prevederebbe la contabilizzazione dei flussi di sostanze in entrata e in uscita dalle piante coltivate, essendo queste parte degli stock antropici. </w:t>
      </w:r>
    </w:p>
    <w:p w14:paraId="606E2CF6" w14:textId="77777777" w:rsidR="00A014B9" w:rsidRPr="009A10FC" w:rsidRDefault="00A014B9" w:rsidP="00CE7D0F">
      <w:pPr>
        <w:pStyle w:val="Titolo2"/>
        <w:autoSpaceDE w:val="0"/>
        <w:autoSpaceDN w:val="0"/>
        <w:adjustRightInd w:val="0"/>
        <w:jc w:val="both"/>
        <w:rPr>
          <w:rFonts w:ascii="Arial" w:hAnsi="Arial" w:cs="Arial"/>
          <w:bCs w:val="0"/>
          <w:i w:val="0"/>
          <w:color w:val="1F497D" w:themeColor="text2"/>
          <w:sz w:val="22"/>
          <w:szCs w:val="26"/>
        </w:rPr>
      </w:pPr>
      <w:r w:rsidRPr="009A10FC">
        <w:rPr>
          <w:rFonts w:ascii="Arial" w:hAnsi="Arial" w:cs="Arial"/>
          <w:b/>
          <w:bCs w:val="0"/>
          <w:i w:val="0"/>
          <w:color w:val="1F497D" w:themeColor="text2"/>
          <w:sz w:val="22"/>
          <w:szCs w:val="26"/>
        </w:rPr>
        <w:t>Principali fonti informative</w:t>
      </w:r>
    </w:p>
    <w:p w14:paraId="7DBFB60D" w14:textId="211F5B9D" w:rsidR="00A014B9" w:rsidRPr="00CE7D0F" w:rsidRDefault="00A014B9" w:rsidP="00CE7D0F">
      <w:pPr>
        <w:pStyle w:val="Titolo3"/>
        <w:spacing w:before="0" w:beforeAutospacing="0" w:after="120" w:afterAutospacing="0"/>
        <w:jc w:val="both"/>
        <w:rPr>
          <w:rFonts w:ascii="Arial" w:hAnsi="Arial" w:cs="Arial"/>
          <w:b w:val="0"/>
        </w:rPr>
      </w:pPr>
      <w:r w:rsidRPr="006A503F">
        <w:rPr>
          <w:rFonts w:ascii="Arial" w:eastAsia="Calibri" w:hAnsi="Arial" w:cs="Arial"/>
          <w:b w:val="0"/>
          <w:bCs w:val="0"/>
          <w:color w:val="1F497D"/>
          <w:sz w:val="22"/>
          <w:szCs w:val="20"/>
        </w:rPr>
        <w:t>Conti dei flussi di materia.</w:t>
      </w:r>
      <w:r w:rsidRPr="00CE7D0F">
        <w:rPr>
          <w:rFonts w:ascii="Arial" w:hAnsi="Arial" w:cs="Arial"/>
          <w:b w:val="0"/>
        </w:rPr>
        <w:t xml:space="preserve"> </w:t>
      </w:r>
      <w:r w:rsidRPr="00CE7D0F">
        <w:rPr>
          <w:rFonts w:ascii="Arial" w:eastAsiaTheme="minorHAnsi" w:hAnsi="Arial" w:cs="Arial"/>
          <w:b w:val="0"/>
          <w:sz w:val="20"/>
          <w:lang w:eastAsia="en-US"/>
        </w:rPr>
        <w:t xml:space="preserve">Le principali fonti utilizzate sono: Stima delle superfici e produzioni delle coltivazioni agrarie; Indagine sulla struttura e produzione delle aziende agricole; Struttura e produzioni delle principali coltivazioni legnose agrarie; superfici </w:t>
      </w:r>
      <w:r w:rsidRPr="00CE7D0F">
        <w:rPr>
          <w:rFonts w:ascii="Arial" w:eastAsiaTheme="minorHAnsi" w:hAnsi="Arial" w:cs="Arial"/>
          <w:b w:val="0"/>
          <w:i/>
          <w:iCs/>
          <w:sz w:val="20"/>
          <w:lang w:eastAsia="en-US"/>
        </w:rPr>
        <w:t>Farm Register</w:t>
      </w:r>
      <w:r w:rsidRPr="00CE7D0F">
        <w:rPr>
          <w:rFonts w:ascii="Arial" w:eastAsiaTheme="minorHAnsi" w:hAnsi="Arial" w:cs="Arial"/>
          <w:b w:val="0"/>
          <w:sz w:val="20"/>
          <w:lang w:eastAsia="en-US"/>
        </w:rPr>
        <w:t>; parametri specifici a livello provinciale desunti da studi E</w:t>
      </w:r>
      <w:r w:rsidR="00065D19">
        <w:rPr>
          <w:rFonts w:ascii="Arial" w:eastAsiaTheme="minorHAnsi" w:hAnsi="Arial" w:cs="Arial"/>
          <w:b w:val="0"/>
          <w:sz w:val="20"/>
          <w:lang w:eastAsia="en-US"/>
        </w:rPr>
        <w:t>nea</w:t>
      </w:r>
      <w:r w:rsidRPr="00CE7D0F">
        <w:rPr>
          <w:rFonts w:ascii="Arial" w:eastAsiaTheme="minorHAnsi" w:hAnsi="Arial" w:cs="Arial"/>
          <w:b w:val="0"/>
          <w:sz w:val="20"/>
          <w:lang w:eastAsia="en-US"/>
        </w:rPr>
        <w:t xml:space="preserve"> e I</w:t>
      </w:r>
      <w:r w:rsidR="00065D19">
        <w:rPr>
          <w:rFonts w:ascii="Arial" w:eastAsiaTheme="minorHAnsi" w:hAnsi="Arial" w:cs="Arial"/>
          <w:b w:val="0"/>
          <w:sz w:val="20"/>
          <w:lang w:eastAsia="en-US"/>
        </w:rPr>
        <w:t>spra</w:t>
      </w:r>
      <w:r w:rsidRPr="00CE7D0F">
        <w:rPr>
          <w:rFonts w:ascii="Arial" w:eastAsiaTheme="minorHAnsi" w:hAnsi="Arial" w:cs="Arial"/>
          <w:b w:val="0"/>
          <w:sz w:val="20"/>
          <w:lang w:eastAsia="en-US"/>
        </w:rPr>
        <w:t xml:space="preserve"> e dalle citate indagini Istat (per i residui utilizzati delle coltivazioni); conti economici dell’agricoltura; dati sul pescato del Ministero delle Politiche Agricole e Forestali; dati provinciali dall’anagrafe apistica del Ministero della Salute; dati amministrativi regionali; Rilevazione Istat “Pressioni antropiche e rischi naturali - Le attività estrattive da cave e miniere”; stime Istat sull’occupazione irregolare; dati amministrativi dell’agenzia delle entrate relativi agli studi di s</w:t>
      </w:r>
      <w:r w:rsidR="00065D19">
        <w:rPr>
          <w:rFonts w:ascii="Arial" w:eastAsiaTheme="minorHAnsi" w:hAnsi="Arial" w:cs="Arial"/>
          <w:b w:val="0"/>
          <w:sz w:val="20"/>
          <w:lang w:eastAsia="en-US"/>
        </w:rPr>
        <w:t>ettore; dati amministrativi Mise</w:t>
      </w:r>
      <w:r w:rsidRPr="00CE7D0F">
        <w:rPr>
          <w:rFonts w:ascii="Arial" w:eastAsiaTheme="minorHAnsi" w:hAnsi="Arial" w:cs="Arial"/>
          <w:b w:val="0"/>
          <w:sz w:val="20"/>
          <w:lang w:eastAsia="en-US"/>
        </w:rPr>
        <w:t xml:space="preserve"> Direzione generale per le risorse minerarie ed energetiche; Bilanci energetici regionali E</w:t>
      </w:r>
      <w:r w:rsidR="00065D19">
        <w:rPr>
          <w:rFonts w:ascii="Arial" w:eastAsiaTheme="minorHAnsi" w:hAnsi="Arial" w:cs="Arial"/>
          <w:b w:val="0"/>
          <w:sz w:val="20"/>
          <w:lang w:eastAsia="en-US"/>
        </w:rPr>
        <w:t>nea</w:t>
      </w:r>
      <w:r w:rsidRPr="00CE7D0F">
        <w:rPr>
          <w:rFonts w:ascii="Arial" w:eastAsiaTheme="minorHAnsi" w:hAnsi="Arial" w:cs="Arial"/>
          <w:b w:val="0"/>
          <w:sz w:val="20"/>
          <w:lang w:eastAsia="en-US"/>
        </w:rPr>
        <w:t>; microdati del commercio con l’estero; microdati del trasporto merci.</w:t>
      </w:r>
    </w:p>
    <w:p w14:paraId="3EB80503" w14:textId="554FD743" w:rsidR="00A014B9" w:rsidRPr="00CE7D0F" w:rsidRDefault="00A014B9" w:rsidP="00CE7D0F">
      <w:pPr>
        <w:pStyle w:val="Titolo3"/>
        <w:spacing w:before="0" w:beforeAutospacing="0" w:after="120" w:afterAutospacing="0"/>
        <w:jc w:val="both"/>
        <w:rPr>
          <w:rFonts w:ascii="Arial" w:eastAsiaTheme="minorHAnsi" w:hAnsi="Arial" w:cs="Arial"/>
          <w:b w:val="0"/>
          <w:sz w:val="20"/>
          <w:lang w:eastAsia="en-US"/>
        </w:rPr>
      </w:pPr>
      <w:r w:rsidRPr="006A503F">
        <w:rPr>
          <w:rFonts w:ascii="Arial" w:eastAsia="Calibri" w:hAnsi="Arial" w:cs="Arial"/>
          <w:b w:val="0"/>
          <w:bCs w:val="0"/>
          <w:color w:val="1F497D"/>
          <w:sz w:val="22"/>
          <w:szCs w:val="20"/>
        </w:rPr>
        <w:t>Conti dei flussi fisici di energia.</w:t>
      </w:r>
      <w:r w:rsidRPr="00CE7D0F">
        <w:rPr>
          <w:rFonts w:ascii="Arial" w:hAnsi="Arial" w:cs="Arial"/>
          <w:b w:val="0"/>
        </w:rPr>
        <w:t xml:space="preserve"> </w:t>
      </w:r>
      <w:r w:rsidRPr="00CE7D0F">
        <w:rPr>
          <w:rFonts w:ascii="Arial" w:eastAsiaTheme="minorHAnsi" w:hAnsi="Arial" w:cs="Arial"/>
          <w:b w:val="0"/>
          <w:sz w:val="20"/>
          <w:lang w:eastAsia="en-US"/>
        </w:rPr>
        <w:t>L’informazione di base per la costruzione del P</w:t>
      </w:r>
      <w:r w:rsidR="00065D19">
        <w:rPr>
          <w:rFonts w:ascii="Arial" w:eastAsiaTheme="minorHAnsi" w:hAnsi="Arial" w:cs="Arial"/>
          <w:b w:val="0"/>
          <w:sz w:val="20"/>
          <w:lang w:eastAsia="en-US"/>
        </w:rPr>
        <w:t>efa</w:t>
      </w:r>
      <w:r w:rsidRPr="00CE7D0F">
        <w:rPr>
          <w:rFonts w:ascii="Arial" w:eastAsiaTheme="minorHAnsi" w:hAnsi="Arial" w:cs="Arial"/>
          <w:b w:val="0"/>
          <w:sz w:val="20"/>
          <w:lang w:eastAsia="en-US"/>
        </w:rPr>
        <w:t xml:space="preserve"> proviene principalmente da due fonti, utilizzate congiuntamente: il Bilancio energetico nazionale (B</w:t>
      </w:r>
      <w:r w:rsidR="00065D19">
        <w:rPr>
          <w:rFonts w:ascii="Arial" w:eastAsiaTheme="minorHAnsi" w:hAnsi="Arial" w:cs="Arial"/>
          <w:b w:val="0"/>
          <w:sz w:val="20"/>
          <w:lang w:eastAsia="en-US"/>
        </w:rPr>
        <w:t>en</w:t>
      </w:r>
      <w:r w:rsidRPr="00CE7D0F">
        <w:rPr>
          <w:rFonts w:ascii="Arial" w:eastAsiaTheme="minorHAnsi" w:hAnsi="Arial" w:cs="Arial"/>
          <w:b w:val="0"/>
          <w:sz w:val="20"/>
          <w:lang w:eastAsia="en-US"/>
        </w:rPr>
        <w:t>) e i Questionari IEA/UNECE/Eurostat sull’energia. Il B</w:t>
      </w:r>
      <w:r w:rsidR="00065D19">
        <w:rPr>
          <w:rFonts w:ascii="Arial" w:eastAsiaTheme="minorHAnsi" w:hAnsi="Arial" w:cs="Arial"/>
          <w:b w:val="0"/>
          <w:sz w:val="20"/>
          <w:lang w:eastAsia="en-US"/>
        </w:rPr>
        <w:t>en</w:t>
      </w:r>
      <w:r w:rsidRPr="00CE7D0F">
        <w:rPr>
          <w:rFonts w:ascii="Arial" w:eastAsiaTheme="minorHAnsi" w:hAnsi="Arial" w:cs="Arial"/>
          <w:b w:val="0"/>
          <w:sz w:val="20"/>
          <w:lang w:eastAsia="en-US"/>
        </w:rPr>
        <w:t xml:space="preserve"> e i Questionari sono integrati con altre fonti al fine di garantire la coerenza con i Conti economici nazionali e di fornire stime più accurate di alcuni aggregati, assicurando al contempo il rispetto del principio della residenza, nonché di permettere la ripartizione per branca di attività economica e per tipo di utilizzo dei flussi di energia misurati dal P</w:t>
      </w:r>
      <w:r w:rsidR="00065D19">
        <w:rPr>
          <w:rFonts w:ascii="Arial" w:eastAsiaTheme="minorHAnsi" w:hAnsi="Arial" w:cs="Arial"/>
          <w:b w:val="0"/>
          <w:sz w:val="20"/>
          <w:lang w:eastAsia="en-US"/>
        </w:rPr>
        <w:t>efa</w:t>
      </w:r>
      <w:r w:rsidRPr="00CE7D0F">
        <w:rPr>
          <w:rFonts w:ascii="Arial" w:eastAsiaTheme="minorHAnsi" w:hAnsi="Arial" w:cs="Arial"/>
          <w:b w:val="0"/>
          <w:sz w:val="20"/>
          <w:lang w:eastAsia="en-US"/>
        </w:rPr>
        <w:t>. Si tratta in particolare delle seguenti fonti:</w:t>
      </w:r>
    </w:p>
    <w:p w14:paraId="34A51A55" w14:textId="6B90F379" w:rsidR="00A014B9" w:rsidRPr="00CE7D0F" w:rsidRDefault="00A014B9" w:rsidP="006865B0">
      <w:pPr>
        <w:pStyle w:val="Paragrafoelenco"/>
        <w:numPr>
          <w:ilvl w:val="0"/>
          <w:numId w:val="43"/>
        </w:numPr>
        <w:autoSpaceDE w:val="0"/>
        <w:autoSpaceDN w:val="0"/>
        <w:adjustRightInd w:val="0"/>
        <w:spacing w:after="120"/>
        <w:jc w:val="both"/>
        <w:rPr>
          <w:rFonts w:ascii="Arial" w:eastAsiaTheme="minorHAnsi" w:hAnsi="Arial" w:cs="Arial"/>
          <w:sz w:val="20"/>
          <w:szCs w:val="20"/>
          <w:lang w:eastAsia="en-US"/>
        </w:rPr>
      </w:pPr>
      <w:r w:rsidRPr="00CE7D0F">
        <w:rPr>
          <w:rFonts w:ascii="Arial" w:eastAsiaTheme="minorHAnsi" w:hAnsi="Arial" w:cs="Arial"/>
          <w:sz w:val="20"/>
          <w:szCs w:val="20"/>
          <w:lang w:eastAsia="en-US"/>
        </w:rPr>
        <w:t xml:space="preserve">l’Indagine sugli scambi con l’estero di beni e servizi (Coe), la Rilevazione sul trasporto aereo, le tavole Supply and Use, i Conti economici dell’agricoltura (componenti dei Conti </w:t>
      </w:r>
      <w:r w:rsidR="00BA4C10" w:rsidRPr="00CE7D0F">
        <w:rPr>
          <w:rFonts w:ascii="Arial" w:eastAsiaTheme="minorHAnsi" w:hAnsi="Arial" w:cs="Arial"/>
          <w:sz w:val="20"/>
          <w:szCs w:val="20"/>
          <w:lang w:eastAsia="en-US"/>
        </w:rPr>
        <w:t>economici nazionali</w:t>
      </w:r>
      <w:r w:rsidRPr="00CE7D0F">
        <w:rPr>
          <w:rFonts w:ascii="Arial" w:eastAsiaTheme="minorHAnsi" w:hAnsi="Arial" w:cs="Arial"/>
          <w:sz w:val="20"/>
          <w:szCs w:val="20"/>
          <w:lang w:eastAsia="en-US"/>
        </w:rPr>
        <w:t>), realizzati dall’Istat;</w:t>
      </w:r>
    </w:p>
    <w:p w14:paraId="3CF00B57" w14:textId="77777777" w:rsidR="00A014B9" w:rsidRPr="00CE7D0F" w:rsidRDefault="00A014B9" w:rsidP="006865B0">
      <w:pPr>
        <w:pStyle w:val="Paragrafoelenco"/>
        <w:numPr>
          <w:ilvl w:val="0"/>
          <w:numId w:val="43"/>
        </w:numPr>
        <w:autoSpaceDE w:val="0"/>
        <w:autoSpaceDN w:val="0"/>
        <w:adjustRightInd w:val="0"/>
        <w:spacing w:after="120"/>
        <w:jc w:val="both"/>
        <w:rPr>
          <w:rFonts w:ascii="Arial" w:eastAsiaTheme="minorHAnsi" w:hAnsi="Arial" w:cs="Arial"/>
          <w:sz w:val="20"/>
          <w:szCs w:val="20"/>
          <w:lang w:eastAsia="en-US"/>
        </w:rPr>
      </w:pPr>
      <w:r w:rsidRPr="00CE7D0F">
        <w:rPr>
          <w:rFonts w:ascii="Arial" w:eastAsiaTheme="minorHAnsi" w:hAnsi="Arial" w:cs="Arial"/>
          <w:sz w:val="20"/>
          <w:szCs w:val="20"/>
          <w:lang w:eastAsia="en-US"/>
        </w:rPr>
        <w:t>l’Indagine sul turismo internazionale in Italia e l’Indagine sui trasporti internazionali di merci, di Banca d’Italia;</w:t>
      </w:r>
    </w:p>
    <w:p w14:paraId="5FEFE7FD" w14:textId="07CFEB4F" w:rsidR="00A014B9" w:rsidRPr="00CE7D0F" w:rsidRDefault="00A014B9" w:rsidP="006865B0">
      <w:pPr>
        <w:pStyle w:val="Paragrafoelenco"/>
        <w:numPr>
          <w:ilvl w:val="0"/>
          <w:numId w:val="43"/>
        </w:numPr>
        <w:autoSpaceDE w:val="0"/>
        <w:autoSpaceDN w:val="0"/>
        <w:adjustRightInd w:val="0"/>
        <w:spacing w:after="120"/>
        <w:jc w:val="both"/>
        <w:rPr>
          <w:rFonts w:ascii="Arial" w:eastAsiaTheme="minorHAnsi" w:hAnsi="Arial" w:cs="Arial"/>
          <w:sz w:val="20"/>
          <w:szCs w:val="20"/>
          <w:lang w:eastAsia="en-US"/>
        </w:rPr>
      </w:pPr>
      <w:r w:rsidRPr="00CE7D0F">
        <w:rPr>
          <w:rFonts w:ascii="Arial" w:eastAsiaTheme="minorHAnsi" w:hAnsi="Arial" w:cs="Arial"/>
          <w:sz w:val="20"/>
          <w:szCs w:val="20"/>
          <w:lang w:eastAsia="en-US"/>
        </w:rPr>
        <w:t>la Rilevazione sui Consumi finali di prodotti energetici delle imprese (Coen), condotta con riferimento ai consumi del 2011;</w:t>
      </w:r>
    </w:p>
    <w:p w14:paraId="11A3B785" w14:textId="71E6BBB9" w:rsidR="00A014B9" w:rsidRPr="00CE7D0F" w:rsidRDefault="00A014B9" w:rsidP="006865B0">
      <w:pPr>
        <w:pStyle w:val="Paragrafoelenco"/>
        <w:numPr>
          <w:ilvl w:val="0"/>
          <w:numId w:val="43"/>
        </w:numPr>
        <w:autoSpaceDE w:val="0"/>
        <w:autoSpaceDN w:val="0"/>
        <w:adjustRightInd w:val="0"/>
        <w:spacing w:after="120"/>
        <w:jc w:val="both"/>
        <w:rPr>
          <w:rFonts w:ascii="Arial" w:eastAsiaTheme="minorHAnsi" w:hAnsi="Arial" w:cs="Arial"/>
          <w:sz w:val="20"/>
          <w:szCs w:val="20"/>
          <w:lang w:eastAsia="en-US"/>
        </w:rPr>
      </w:pPr>
      <w:r w:rsidRPr="00CE7D0F">
        <w:rPr>
          <w:rFonts w:ascii="Arial" w:eastAsiaTheme="minorHAnsi" w:hAnsi="Arial" w:cs="Arial"/>
          <w:sz w:val="20"/>
          <w:szCs w:val="20"/>
          <w:lang w:eastAsia="en-US"/>
        </w:rPr>
        <w:t>il Bilancio dell’energia elettrica, i dati sui Consumi di energia elettrica per settore merceologico, forniti da T</w:t>
      </w:r>
      <w:r w:rsidR="00065D19">
        <w:rPr>
          <w:rFonts w:ascii="Arial" w:eastAsiaTheme="minorHAnsi" w:hAnsi="Arial" w:cs="Arial"/>
          <w:sz w:val="20"/>
          <w:szCs w:val="20"/>
          <w:lang w:eastAsia="en-US"/>
        </w:rPr>
        <w:t>erna</w:t>
      </w:r>
      <w:r w:rsidRPr="00CE7D0F">
        <w:rPr>
          <w:rFonts w:ascii="Arial" w:eastAsiaTheme="minorHAnsi" w:hAnsi="Arial" w:cs="Arial"/>
          <w:sz w:val="20"/>
          <w:szCs w:val="20"/>
          <w:lang w:eastAsia="en-US"/>
        </w:rPr>
        <w:t>;</w:t>
      </w:r>
    </w:p>
    <w:p w14:paraId="50C41E4A" w14:textId="5A46326F" w:rsidR="00A014B9" w:rsidRPr="00CE7D0F" w:rsidRDefault="00A014B9" w:rsidP="006865B0">
      <w:pPr>
        <w:pStyle w:val="Paragrafoelenco"/>
        <w:numPr>
          <w:ilvl w:val="0"/>
          <w:numId w:val="43"/>
        </w:numPr>
        <w:autoSpaceDE w:val="0"/>
        <w:autoSpaceDN w:val="0"/>
        <w:adjustRightInd w:val="0"/>
        <w:spacing w:after="120"/>
        <w:jc w:val="both"/>
        <w:rPr>
          <w:rFonts w:ascii="Arial" w:eastAsiaTheme="minorHAnsi" w:hAnsi="Arial" w:cs="Arial"/>
          <w:sz w:val="20"/>
          <w:szCs w:val="20"/>
          <w:lang w:eastAsia="en-US"/>
        </w:rPr>
      </w:pPr>
      <w:r w:rsidRPr="00CE7D0F">
        <w:rPr>
          <w:rFonts w:ascii="Arial" w:eastAsiaTheme="minorHAnsi" w:hAnsi="Arial" w:cs="Arial"/>
          <w:sz w:val="20"/>
          <w:szCs w:val="20"/>
          <w:lang w:eastAsia="en-US"/>
        </w:rPr>
        <w:t>il Registro del parco veicoli, fornito da A</w:t>
      </w:r>
      <w:r w:rsidR="00065D19">
        <w:rPr>
          <w:rFonts w:ascii="Arial" w:eastAsiaTheme="minorHAnsi" w:hAnsi="Arial" w:cs="Arial"/>
          <w:sz w:val="20"/>
          <w:szCs w:val="20"/>
          <w:lang w:eastAsia="en-US"/>
        </w:rPr>
        <w:t>ci</w:t>
      </w:r>
      <w:r w:rsidRPr="00CE7D0F">
        <w:rPr>
          <w:rFonts w:ascii="Arial" w:eastAsiaTheme="minorHAnsi" w:hAnsi="Arial" w:cs="Arial"/>
          <w:sz w:val="20"/>
          <w:szCs w:val="20"/>
          <w:lang w:eastAsia="en-US"/>
        </w:rPr>
        <w:t xml:space="preserve"> (Automobile Club d'Italia);</w:t>
      </w:r>
    </w:p>
    <w:p w14:paraId="0ECAE6D6" w14:textId="77777777" w:rsidR="00A014B9" w:rsidRPr="00CE7D0F" w:rsidRDefault="00A014B9" w:rsidP="006865B0">
      <w:pPr>
        <w:pStyle w:val="Paragrafoelenco"/>
        <w:numPr>
          <w:ilvl w:val="0"/>
          <w:numId w:val="43"/>
        </w:numPr>
        <w:autoSpaceDE w:val="0"/>
        <w:autoSpaceDN w:val="0"/>
        <w:adjustRightInd w:val="0"/>
        <w:spacing w:after="120"/>
        <w:jc w:val="both"/>
        <w:rPr>
          <w:rFonts w:ascii="Arial" w:eastAsiaTheme="minorHAnsi" w:hAnsi="Arial" w:cs="Arial"/>
          <w:sz w:val="20"/>
          <w:szCs w:val="20"/>
          <w:lang w:eastAsia="en-US"/>
        </w:rPr>
      </w:pPr>
      <w:r w:rsidRPr="00CE7D0F">
        <w:rPr>
          <w:rFonts w:ascii="Arial" w:eastAsiaTheme="minorHAnsi" w:hAnsi="Arial" w:cs="Arial"/>
          <w:sz w:val="20"/>
          <w:szCs w:val="20"/>
          <w:lang w:eastAsia="en-US"/>
        </w:rPr>
        <w:t>l’Archivio delle Revisioni dei veicoli, del Ministero delle Infrastrutture e dei Trasporti;</w:t>
      </w:r>
    </w:p>
    <w:p w14:paraId="19064D14" w14:textId="4E75951C" w:rsidR="00A014B9" w:rsidRPr="00CE7D0F" w:rsidRDefault="00A014B9" w:rsidP="006865B0">
      <w:pPr>
        <w:pStyle w:val="Paragrafoelenco"/>
        <w:numPr>
          <w:ilvl w:val="0"/>
          <w:numId w:val="43"/>
        </w:numPr>
        <w:autoSpaceDE w:val="0"/>
        <w:autoSpaceDN w:val="0"/>
        <w:adjustRightInd w:val="0"/>
        <w:spacing w:after="120"/>
        <w:jc w:val="both"/>
        <w:rPr>
          <w:rFonts w:ascii="Arial" w:eastAsiaTheme="minorHAnsi" w:hAnsi="Arial" w:cs="Arial"/>
          <w:sz w:val="20"/>
          <w:szCs w:val="20"/>
          <w:lang w:eastAsia="en-US"/>
        </w:rPr>
      </w:pPr>
      <w:r w:rsidRPr="00CE7D0F">
        <w:rPr>
          <w:rFonts w:ascii="Arial" w:eastAsiaTheme="minorHAnsi" w:hAnsi="Arial" w:cs="Arial"/>
          <w:sz w:val="20"/>
          <w:szCs w:val="20"/>
          <w:lang w:eastAsia="en-US"/>
        </w:rPr>
        <w:t xml:space="preserve">Il Registro delle immatricolazioni dei veicoli, fornito da </w:t>
      </w:r>
      <w:r w:rsidR="00463FD7">
        <w:rPr>
          <w:rFonts w:ascii="Arial" w:eastAsiaTheme="minorHAnsi" w:hAnsi="Arial" w:cs="Arial"/>
          <w:sz w:val="20"/>
          <w:szCs w:val="20"/>
          <w:lang w:eastAsia="en-US"/>
        </w:rPr>
        <w:t>U</w:t>
      </w:r>
      <w:r w:rsidR="00463FD7" w:rsidRPr="00CE7D0F">
        <w:rPr>
          <w:rFonts w:ascii="Arial" w:eastAsiaTheme="minorHAnsi" w:hAnsi="Arial" w:cs="Arial"/>
          <w:sz w:val="20"/>
          <w:szCs w:val="20"/>
          <w:lang w:eastAsia="en-US"/>
        </w:rPr>
        <w:t>nrae</w:t>
      </w:r>
      <w:r w:rsidRPr="00CE7D0F">
        <w:rPr>
          <w:rFonts w:ascii="Arial" w:eastAsiaTheme="minorHAnsi" w:hAnsi="Arial" w:cs="Arial"/>
          <w:sz w:val="20"/>
          <w:szCs w:val="20"/>
          <w:lang w:eastAsia="en-US"/>
        </w:rPr>
        <w:t xml:space="preserve"> (Unione </w:t>
      </w:r>
      <w:r w:rsidR="00BA4C10" w:rsidRPr="00CE7D0F">
        <w:rPr>
          <w:rFonts w:ascii="Arial" w:eastAsiaTheme="minorHAnsi" w:hAnsi="Arial" w:cs="Arial"/>
          <w:sz w:val="20"/>
          <w:szCs w:val="20"/>
          <w:lang w:eastAsia="en-US"/>
        </w:rPr>
        <w:t>nazionale rappresentanti autoveicoli esteri</w:t>
      </w:r>
      <w:r w:rsidR="00BA4C10">
        <w:rPr>
          <w:rFonts w:ascii="Arial" w:eastAsiaTheme="minorHAnsi" w:hAnsi="Arial" w:cs="Arial"/>
          <w:sz w:val="20"/>
          <w:szCs w:val="20"/>
          <w:lang w:eastAsia="en-US"/>
        </w:rPr>
        <w:t>)</w:t>
      </w:r>
    </w:p>
    <w:p w14:paraId="21C7A79F" w14:textId="77777777" w:rsidR="00A014B9" w:rsidRPr="00CE7D0F" w:rsidRDefault="00A014B9" w:rsidP="006865B0">
      <w:pPr>
        <w:pStyle w:val="Paragrafoelenco"/>
        <w:numPr>
          <w:ilvl w:val="0"/>
          <w:numId w:val="43"/>
        </w:numPr>
        <w:autoSpaceDE w:val="0"/>
        <w:autoSpaceDN w:val="0"/>
        <w:adjustRightInd w:val="0"/>
        <w:spacing w:after="120"/>
        <w:jc w:val="both"/>
        <w:rPr>
          <w:rFonts w:ascii="Arial" w:eastAsiaTheme="minorHAnsi" w:hAnsi="Arial" w:cs="Arial"/>
          <w:sz w:val="20"/>
          <w:szCs w:val="20"/>
          <w:lang w:eastAsia="en-US"/>
        </w:rPr>
      </w:pPr>
      <w:r w:rsidRPr="00CE7D0F">
        <w:rPr>
          <w:rFonts w:ascii="Arial" w:eastAsiaTheme="minorHAnsi" w:hAnsi="Arial" w:cs="Arial"/>
          <w:sz w:val="20"/>
          <w:szCs w:val="20"/>
          <w:lang w:eastAsia="en-US"/>
        </w:rPr>
        <w:t>la pubblicazione “Statistiche economiche, energetiche e petrolifere” dell’Unione Petrolifera;</w:t>
      </w:r>
    </w:p>
    <w:p w14:paraId="037650D0" w14:textId="79AFE0B7" w:rsidR="00A014B9" w:rsidRPr="00CE7D0F" w:rsidRDefault="00A014B9" w:rsidP="006865B0">
      <w:pPr>
        <w:pStyle w:val="Paragrafoelenco"/>
        <w:numPr>
          <w:ilvl w:val="0"/>
          <w:numId w:val="43"/>
        </w:numPr>
        <w:autoSpaceDE w:val="0"/>
        <w:autoSpaceDN w:val="0"/>
        <w:adjustRightInd w:val="0"/>
        <w:spacing w:after="120"/>
        <w:jc w:val="both"/>
        <w:rPr>
          <w:rFonts w:ascii="Arial" w:eastAsiaTheme="minorHAnsi" w:hAnsi="Arial" w:cs="Arial"/>
          <w:sz w:val="20"/>
          <w:szCs w:val="20"/>
          <w:lang w:eastAsia="en-US"/>
        </w:rPr>
      </w:pPr>
      <w:r w:rsidRPr="00CE7D0F">
        <w:rPr>
          <w:rFonts w:ascii="Arial" w:eastAsiaTheme="minorHAnsi" w:hAnsi="Arial" w:cs="Arial"/>
          <w:sz w:val="20"/>
          <w:szCs w:val="20"/>
          <w:lang w:eastAsia="en-US"/>
        </w:rPr>
        <w:t>l'Inventario nazionale delle emissioni dell'</w:t>
      </w:r>
      <w:r w:rsidR="00463FD7">
        <w:rPr>
          <w:rFonts w:ascii="Arial" w:eastAsiaTheme="minorHAnsi" w:hAnsi="Arial" w:cs="Arial"/>
          <w:sz w:val="20"/>
          <w:szCs w:val="20"/>
          <w:lang w:eastAsia="en-US"/>
        </w:rPr>
        <w:t>I</w:t>
      </w:r>
      <w:r w:rsidR="00463FD7" w:rsidRPr="00CE7D0F">
        <w:rPr>
          <w:rFonts w:ascii="Arial" w:eastAsiaTheme="minorHAnsi" w:hAnsi="Arial" w:cs="Arial"/>
          <w:sz w:val="20"/>
          <w:szCs w:val="20"/>
          <w:lang w:eastAsia="en-US"/>
        </w:rPr>
        <w:t>spra</w:t>
      </w:r>
      <w:r w:rsidRPr="00CE7D0F">
        <w:rPr>
          <w:rFonts w:ascii="Arial" w:eastAsiaTheme="minorHAnsi" w:hAnsi="Arial" w:cs="Arial"/>
          <w:sz w:val="20"/>
          <w:szCs w:val="20"/>
          <w:lang w:eastAsia="en-US"/>
        </w:rPr>
        <w:t xml:space="preserve"> (Istituto </w:t>
      </w:r>
      <w:r w:rsidR="00463FD7" w:rsidRPr="00CE7D0F">
        <w:rPr>
          <w:rFonts w:ascii="Arial" w:eastAsiaTheme="minorHAnsi" w:hAnsi="Arial" w:cs="Arial"/>
          <w:sz w:val="20"/>
          <w:szCs w:val="20"/>
          <w:lang w:eastAsia="en-US"/>
        </w:rPr>
        <w:t>superiore per la ricerca e la protezione ambientale</w:t>
      </w:r>
      <w:r w:rsidRPr="00CE7D0F">
        <w:rPr>
          <w:rFonts w:ascii="Arial" w:eastAsiaTheme="minorHAnsi" w:hAnsi="Arial" w:cs="Arial"/>
          <w:sz w:val="20"/>
          <w:szCs w:val="20"/>
          <w:lang w:eastAsia="en-US"/>
        </w:rPr>
        <w:t xml:space="preserve">). </w:t>
      </w:r>
    </w:p>
    <w:p w14:paraId="6D06EB11" w14:textId="499CAFE8" w:rsidR="00A014B9" w:rsidRPr="00CE7D0F" w:rsidRDefault="00A014B9" w:rsidP="00CE7D0F">
      <w:pPr>
        <w:pStyle w:val="Titolo3"/>
        <w:spacing w:before="0" w:beforeAutospacing="0" w:after="120" w:afterAutospacing="0"/>
        <w:jc w:val="both"/>
        <w:rPr>
          <w:rFonts w:ascii="Arial" w:eastAsiaTheme="minorHAnsi" w:hAnsi="Arial" w:cs="Arial"/>
          <w:b w:val="0"/>
          <w:sz w:val="20"/>
          <w:lang w:eastAsia="en-US"/>
        </w:rPr>
      </w:pPr>
      <w:r w:rsidRPr="006A503F">
        <w:rPr>
          <w:rFonts w:ascii="Arial" w:eastAsia="Calibri" w:hAnsi="Arial" w:cs="Arial"/>
          <w:b w:val="0"/>
          <w:bCs w:val="0"/>
          <w:color w:val="1F497D"/>
          <w:sz w:val="22"/>
          <w:szCs w:val="20"/>
        </w:rPr>
        <w:t>Conti delle emissioni in atmosfera (A</w:t>
      </w:r>
      <w:r w:rsidR="00463FD7">
        <w:rPr>
          <w:rFonts w:ascii="Arial" w:eastAsia="Calibri" w:hAnsi="Arial" w:cs="Arial"/>
          <w:b w:val="0"/>
          <w:bCs w:val="0"/>
          <w:color w:val="1F497D"/>
          <w:sz w:val="22"/>
          <w:szCs w:val="20"/>
        </w:rPr>
        <w:t>ea</w:t>
      </w:r>
      <w:r w:rsidRPr="006A503F">
        <w:rPr>
          <w:rFonts w:ascii="Arial" w:eastAsia="Calibri" w:hAnsi="Arial" w:cs="Arial"/>
          <w:b w:val="0"/>
          <w:bCs w:val="0"/>
          <w:color w:val="1F497D"/>
          <w:sz w:val="22"/>
          <w:szCs w:val="20"/>
        </w:rPr>
        <w:t>),</w:t>
      </w:r>
      <w:r w:rsidRPr="00CE7D0F">
        <w:rPr>
          <w:rFonts w:ascii="Arial" w:eastAsiaTheme="minorHAnsi" w:hAnsi="Arial" w:cs="Arial"/>
          <w:sz w:val="20"/>
          <w:lang w:eastAsia="en-US"/>
        </w:rPr>
        <w:t xml:space="preserve"> </w:t>
      </w:r>
      <w:r w:rsidRPr="00CE7D0F">
        <w:rPr>
          <w:rFonts w:ascii="Arial" w:eastAsiaTheme="minorHAnsi" w:hAnsi="Arial" w:cs="Arial"/>
          <w:b w:val="0"/>
          <w:sz w:val="20"/>
          <w:lang w:eastAsia="en-US"/>
        </w:rPr>
        <w:t>già noti come conti di tipo N</w:t>
      </w:r>
      <w:r w:rsidR="00463FD7">
        <w:rPr>
          <w:rFonts w:ascii="Arial" w:eastAsiaTheme="minorHAnsi" w:hAnsi="Arial" w:cs="Arial"/>
          <w:b w:val="0"/>
          <w:sz w:val="20"/>
          <w:lang w:eastAsia="en-US"/>
        </w:rPr>
        <w:t>amea</w:t>
      </w:r>
      <w:r w:rsidRPr="00CE7D0F">
        <w:rPr>
          <w:rFonts w:ascii="Arial" w:eastAsiaTheme="minorHAnsi" w:hAnsi="Arial" w:cs="Arial"/>
          <w:b w:val="0"/>
          <w:sz w:val="20"/>
          <w:lang w:eastAsia="en-US"/>
        </w:rPr>
        <w:t xml:space="preserve">, sono compilati a partire principalmente dall’inventario nazionale delle emissioni atmosferiche, realizzato annualmente dall’Istituto </w:t>
      </w:r>
      <w:r w:rsidR="00463FD7" w:rsidRPr="00CE7D0F">
        <w:rPr>
          <w:rFonts w:ascii="Arial" w:eastAsiaTheme="minorHAnsi" w:hAnsi="Arial" w:cs="Arial"/>
          <w:b w:val="0"/>
          <w:sz w:val="20"/>
          <w:lang w:eastAsia="en-US"/>
        </w:rPr>
        <w:t xml:space="preserve">superiore per la ricerca e la protezione ambientale </w:t>
      </w:r>
      <w:r w:rsidRPr="00CE7D0F">
        <w:rPr>
          <w:rFonts w:ascii="Arial" w:eastAsiaTheme="minorHAnsi" w:hAnsi="Arial" w:cs="Arial"/>
          <w:b w:val="0"/>
          <w:sz w:val="20"/>
          <w:lang w:eastAsia="en-US"/>
        </w:rPr>
        <w:t>(Ispra), dal quale scaturiscono i dati comunicati dall’Italia in sede internazionale nell’ambito della convenzione quadro delle Nazioni Unite sui cambiamenti climatici (</w:t>
      </w:r>
      <w:r w:rsidRPr="00CE7D0F">
        <w:rPr>
          <w:rFonts w:ascii="Arial" w:eastAsiaTheme="minorHAnsi" w:hAnsi="Arial" w:cs="Arial"/>
          <w:b w:val="0"/>
          <w:i/>
          <w:iCs/>
          <w:sz w:val="20"/>
          <w:lang w:eastAsia="en-US"/>
        </w:rPr>
        <w:t xml:space="preserve">United </w:t>
      </w:r>
      <w:r w:rsidR="00463FD7" w:rsidRPr="00CE7D0F">
        <w:rPr>
          <w:rFonts w:ascii="Arial" w:eastAsiaTheme="minorHAnsi" w:hAnsi="Arial" w:cs="Arial"/>
          <w:b w:val="0"/>
          <w:i/>
          <w:iCs/>
          <w:sz w:val="20"/>
          <w:lang w:eastAsia="en-US"/>
        </w:rPr>
        <w:t>nations convention on climate change</w:t>
      </w:r>
      <w:r w:rsidR="00463FD7" w:rsidRPr="00CE7D0F">
        <w:rPr>
          <w:rFonts w:ascii="Arial" w:eastAsiaTheme="minorHAnsi" w:hAnsi="Arial" w:cs="Arial"/>
          <w:b w:val="0"/>
          <w:sz w:val="20"/>
          <w:lang w:eastAsia="en-US"/>
        </w:rPr>
        <w:t xml:space="preserve"> </w:t>
      </w:r>
      <w:r w:rsidRPr="00CE7D0F">
        <w:rPr>
          <w:rFonts w:ascii="Arial" w:eastAsiaTheme="minorHAnsi" w:hAnsi="Arial" w:cs="Arial"/>
          <w:b w:val="0"/>
          <w:sz w:val="20"/>
          <w:lang w:eastAsia="en-US"/>
        </w:rPr>
        <w:t>- Unfccc) e della Convenzione sull'inquinamento atmosferico transfrontaliero (</w:t>
      </w:r>
      <w:r w:rsidRPr="00CE7D0F">
        <w:rPr>
          <w:rFonts w:ascii="Arial" w:eastAsiaTheme="minorHAnsi" w:hAnsi="Arial" w:cs="Arial"/>
          <w:b w:val="0"/>
          <w:i/>
          <w:iCs/>
          <w:sz w:val="20"/>
          <w:lang w:eastAsia="en-US"/>
        </w:rPr>
        <w:t>Convention on long range transboundary air pollution</w:t>
      </w:r>
      <w:r w:rsidRPr="00CE7D0F">
        <w:rPr>
          <w:rFonts w:ascii="Arial" w:eastAsiaTheme="minorHAnsi" w:hAnsi="Arial" w:cs="Arial"/>
          <w:b w:val="0"/>
          <w:sz w:val="20"/>
          <w:lang w:eastAsia="en-US"/>
        </w:rPr>
        <w:t xml:space="preserve"> - Clrtap). La relazione esistente fra le emissioni dei Conti A</w:t>
      </w:r>
      <w:r w:rsidR="00463FD7">
        <w:rPr>
          <w:rFonts w:ascii="Arial" w:eastAsiaTheme="minorHAnsi" w:hAnsi="Arial" w:cs="Arial"/>
          <w:b w:val="0"/>
          <w:sz w:val="20"/>
          <w:lang w:eastAsia="en-US"/>
        </w:rPr>
        <w:t>ea</w:t>
      </w:r>
      <w:r w:rsidRPr="00CE7D0F">
        <w:rPr>
          <w:rFonts w:ascii="Arial" w:eastAsiaTheme="minorHAnsi" w:hAnsi="Arial" w:cs="Arial"/>
          <w:b w:val="0"/>
          <w:sz w:val="20"/>
          <w:lang w:eastAsia="en-US"/>
        </w:rPr>
        <w:t xml:space="preserve"> e quelle calcolate dall’Ispra nell’ambito delle due citate convenzioni è illustrata nelle presenti note e quantificata nel 'Raccordo tra totale N</w:t>
      </w:r>
      <w:r w:rsidR="00463FD7">
        <w:rPr>
          <w:rFonts w:ascii="Arial" w:eastAsiaTheme="minorHAnsi" w:hAnsi="Arial" w:cs="Arial"/>
          <w:b w:val="0"/>
          <w:sz w:val="20"/>
          <w:lang w:eastAsia="en-US"/>
        </w:rPr>
        <w:t>amea</w:t>
      </w:r>
      <w:r w:rsidRPr="00CE7D0F">
        <w:rPr>
          <w:rFonts w:ascii="Arial" w:eastAsiaTheme="minorHAnsi" w:hAnsi="Arial" w:cs="Arial"/>
          <w:b w:val="0"/>
          <w:sz w:val="20"/>
          <w:lang w:eastAsia="en-US"/>
        </w:rPr>
        <w:t xml:space="preserve"> e totale Unfccc/Clrtap’. Le rimanenti discrepanze statistiche sono per lo più dovute all'utilizzo dei dati più recenti, gentilmente forniti da </w:t>
      </w:r>
      <w:r w:rsidR="00463FD7" w:rsidRPr="00CE7D0F">
        <w:rPr>
          <w:rFonts w:ascii="Arial" w:eastAsiaTheme="minorHAnsi" w:hAnsi="Arial" w:cs="Arial"/>
          <w:b w:val="0"/>
          <w:sz w:val="20"/>
          <w:lang w:eastAsia="en-US"/>
        </w:rPr>
        <w:t>Ispra</w:t>
      </w:r>
      <w:r w:rsidRPr="00CE7D0F">
        <w:rPr>
          <w:rFonts w:ascii="Arial" w:eastAsiaTheme="minorHAnsi" w:hAnsi="Arial" w:cs="Arial"/>
          <w:b w:val="0"/>
          <w:sz w:val="20"/>
          <w:lang w:eastAsia="en-US"/>
        </w:rPr>
        <w:t xml:space="preserve">, aggiornati successivamente alle ultime comunicazioni ufficiali. </w:t>
      </w:r>
    </w:p>
    <w:p w14:paraId="3D74CB29" w14:textId="13D0F565" w:rsidR="00A014B9" w:rsidRPr="006A503F" w:rsidRDefault="00A014B9" w:rsidP="00A8174A">
      <w:pPr>
        <w:pStyle w:val="Nessunaspaziatura"/>
      </w:pPr>
      <w:r w:rsidRPr="006A503F">
        <w:t>Ulteriori fonti di dati sono rappresentate dalle informazioni annuali correntemente prodotte dall’Istat nell’ambito dei conti economici nazionali e dei conti economici ambientali, e in particolare dal conto dei flussi fisici dell’energia (</w:t>
      </w:r>
      <w:r w:rsidR="00463FD7" w:rsidRPr="006A503F">
        <w:t>Pefa</w:t>
      </w:r>
      <w:r w:rsidRPr="006A503F">
        <w:t xml:space="preserve">). </w:t>
      </w:r>
    </w:p>
    <w:p w14:paraId="44A2B198" w14:textId="77777777" w:rsidR="00A014B9" w:rsidRPr="00A35518" w:rsidRDefault="00A014B9" w:rsidP="00A35518">
      <w:pPr>
        <w:pStyle w:val="Titolo3"/>
        <w:spacing w:before="0" w:beforeAutospacing="0" w:after="120" w:afterAutospacing="0"/>
        <w:jc w:val="both"/>
        <w:rPr>
          <w:rFonts w:ascii="Arial" w:hAnsi="Arial" w:cs="Arial"/>
          <w:b w:val="0"/>
        </w:rPr>
      </w:pPr>
      <w:r w:rsidRPr="006A503F">
        <w:rPr>
          <w:rFonts w:ascii="Arial" w:eastAsia="Calibri" w:hAnsi="Arial" w:cs="Arial"/>
          <w:b w:val="0"/>
          <w:bCs w:val="0"/>
          <w:color w:val="1F497D"/>
          <w:sz w:val="22"/>
          <w:szCs w:val="20"/>
        </w:rPr>
        <w:t>Conti del settore dei beni e dei servizi ambientali.</w:t>
      </w:r>
      <w:r w:rsidRPr="00CE7D0F">
        <w:rPr>
          <w:rFonts w:ascii="Arial" w:hAnsi="Arial" w:cs="Arial"/>
          <w:b w:val="0"/>
        </w:rPr>
        <w:t xml:space="preserve"> </w:t>
      </w:r>
      <w:r w:rsidRPr="00CE7D0F">
        <w:rPr>
          <w:rFonts w:ascii="Arial" w:eastAsiaTheme="minorHAnsi" w:hAnsi="Arial" w:cs="Arial"/>
          <w:b w:val="0"/>
          <w:sz w:val="20"/>
          <w:lang w:eastAsia="en-US"/>
        </w:rPr>
        <w:t xml:space="preserve">Le principali fonti informative utilizzate per la stima degli </w:t>
      </w:r>
      <w:r w:rsidRPr="00A35518">
        <w:rPr>
          <w:rFonts w:ascii="Arial" w:eastAsiaTheme="minorHAnsi" w:hAnsi="Arial" w:cs="Arial"/>
          <w:b w:val="0"/>
          <w:sz w:val="20"/>
          <w:lang w:eastAsia="en-US"/>
        </w:rPr>
        <w:t xml:space="preserve">aggregati dei conti del settore dei beni e dei servizi ambientali sono sia di natura statistica sia amministrativa: </w:t>
      </w:r>
    </w:p>
    <w:p w14:paraId="3083FBEC" w14:textId="5F71E38B" w:rsidR="00A014B9" w:rsidRPr="006A503F" w:rsidRDefault="00A014B9" w:rsidP="00A8174A">
      <w:pPr>
        <w:pStyle w:val="Nessunaspaziatura"/>
        <w:numPr>
          <w:ilvl w:val="0"/>
          <w:numId w:val="40"/>
        </w:numPr>
      </w:pPr>
      <w:r w:rsidRPr="006A503F">
        <w:t xml:space="preserve">dati di indagine: </w:t>
      </w:r>
      <w:r w:rsidR="00463FD7" w:rsidRPr="006A503F">
        <w:t>Prodcom</w:t>
      </w:r>
      <w:r w:rsidRPr="006A503F">
        <w:t>, statistiche strutturali sulle imprese (investimenti e spese correnti per la protezione dell’ambiente rilevate dalle indagini S</w:t>
      </w:r>
      <w:r w:rsidR="00B314AD">
        <w:t>ci</w:t>
      </w:r>
      <w:r w:rsidRPr="006A503F">
        <w:t xml:space="preserve"> - Sistema dei </w:t>
      </w:r>
      <w:r w:rsidR="00B314AD" w:rsidRPr="006A503F">
        <w:t>conti delle imprese</w:t>
      </w:r>
      <w:r w:rsidRPr="006A503F">
        <w:t xml:space="preserve"> e </w:t>
      </w:r>
      <w:r w:rsidR="00463FD7" w:rsidRPr="006A503F">
        <w:t>Pmi</w:t>
      </w:r>
      <w:r w:rsidRPr="006A503F">
        <w:t xml:space="preserve"> - Piccole e </w:t>
      </w:r>
      <w:r w:rsidR="00B314AD" w:rsidRPr="006A503F">
        <w:t xml:space="preserve">medie imprese </w:t>
      </w:r>
      <w:r w:rsidRPr="006A503F">
        <w:t xml:space="preserve">ed esercizio di arti e professioni); </w:t>
      </w:r>
    </w:p>
    <w:p w14:paraId="52644F32" w14:textId="7B054E9D" w:rsidR="00A014B9" w:rsidRPr="006A503F" w:rsidRDefault="00A014B9" w:rsidP="00A8174A">
      <w:pPr>
        <w:pStyle w:val="Nessunaspaziatura"/>
        <w:numPr>
          <w:ilvl w:val="0"/>
          <w:numId w:val="40"/>
        </w:numPr>
      </w:pPr>
      <w:r w:rsidRPr="006A503F">
        <w:t>dati amministrativi: archivio delle revisioni, archivio A</w:t>
      </w:r>
      <w:r w:rsidR="00B314AD">
        <w:t>ci</w:t>
      </w:r>
      <w:r w:rsidRPr="006A503F">
        <w:t xml:space="preserve"> sul parco circolante, archivio </w:t>
      </w:r>
      <w:r w:rsidR="00463FD7" w:rsidRPr="006A503F">
        <w:t>Ispra</w:t>
      </w:r>
      <w:r w:rsidRPr="006A503F">
        <w:t xml:space="preserve"> delle certificazioni E</w:t>
      </w:r>
      <w:r w:rsidR="00B314AD">
        <w:t>mas</w:t>
      </w:r>
      <w:r w:rsidRPr="006A503F">
        <w:t xml:space="preserve"> (</w:t>
      </w:r>
      <w:r w:rsidRPr="006A503F">
        <w:rPr>
          <w:i/>
        </w:rPr>
        <w:t>Eco-</w:t>
      </w:r>
      <w:r w:rsidR="00B314AD" w:rsidRPr="006A503F">
        <w:rPr>
          <w:i/>
        </w:rPr>
        <w:t>management and audit scheme</w:t>
      </w:r>
      <w:r w:rsidRPr="006A503F">
        <w:t>);</w:t>
      </w:r>
    </w:p>
    <w:p w14:paraId="6D3F0F6C" w14:textId="6B96878C" w:rsidR="00A014B9" w:rsidRPr="006A503F" w:rsidRDefault="00A014B9" w:rsidP="00A8174A">
      <w:pPr>
        <w:pStyle w:val="Nessunaspaziatura"/>
        <w:numPr>
          <w:ilvl w:val="0"/>
          <w:numId w:val="40"/>
        </w:numPr>
      </w:pPr>
      <w:r w:rsidRPr="006A503F">
        <w:t>altri dati statistici: bilanci economici, finanziari e ambientali di specifiche aziende; rapporti e dati statistici per il settore delle energie da fonti rinnovabili prodotti dal G</w:t>
      </w:r>
      <w:r w:rsidR="00B314AD">
        <w:t>se</w:t>
      </w:r>
      <w:r w:rsidRPr="006A503F">
        <w:t xml:space="preserve">, da associazioni di categoria e altri enti. </w:t>
      </w:r>
    </w:p>
    <w:p w14:paraId="43112E69" w14:textId="77777777" w:rsidR="006865B0" w:rsidRDefault="006865B0">
      <w:pPr>
        <w:rPr>
          <w:rFonts w:ascii="Arial" w:eastAsiaTheme="minorHAnsi" w:hAnsi="Arial" w:cs="Arial"/>
          <w:sz w:val="20"/>
          <w:szCs w:val="20"/>
          <w:lang w:eastAsia="en-US"/>
        </w:rPr>
      </w:pPr>
      <w:r>
        <w:br w:type="page"/>
      </w:r>
    </w:p>
    <w:p w14:paraId="273F8F68" w14:textId="255EDB56" w:rsidR="00A014B9" w:rsidRPr="006A503F" w:rsidRDefault="00A014B9" w:rsidP="00A8174A">
      <w:pPr>
        <w:pStyle w:val="Nessunaspaziatura"/>
      </w:pPr>
      <w:r w:rsidRPr="006A503F">
        <w:lastRenderedPageBreak/>
        <w:t xml:space="preserve">Ulteriori fonti di dati sono rappresentate dalle informazioni annuali correntemente prodotte dall’Istat nell’ambito dei conti economici nazionali e dei conti economici ambientali: </w:t>
      </w:r>
    </w:p>
    <w:p w14:paraId="4C6D5548" w14:textId="77777777" w:rsidR="00A014B9" w:rsidRPr="006A503F" w:rsidRDefault="00A014B9" w:rsidP="00A8174A">
      <w:pPr>
        <w:pStyle w:val="Nessunaspaziatura"/>
        <w:numPr>
          <w:ilvl w:val="0"/>
          <w:numId w:val="41"/>
        </w:numPr>
      </w:pPr>
      <w:r w:rsidRPr="006A503F">
        <w:t xml:space="preserve">gli investimenti per branca, i conti economici dell’agricoltura, le esportazioni per prodotto, il valore aggiunto e le unità di lavoro per branca, le tavole supply and use; </w:t>
      </w:r>
    </w:p>
    <w:p w14:paraId="196D9675" w14:textId="4319F2D3" w:rsidR="00A014B9" w:rsidRPr="006A503F" w:rsidRDefault="00A014B9" w:rsidP="00A8174A">
      <w:pPr>
        <w:pStyle w:val="Nessunaspaziatura"/>
        <w:numPr>
          <w:ilvl w:val="0"/>
          <w:numId w:val="41"/>
        </w:numPr>
      </w:pPr>
      <w:r w:rsidRPr="006A503F">
        <w:t xml:space="preserve">il conto dei </w:t>
      </w:r>
      <w:r w:rsidR="00F0457F">
        <w:t>flussi fisici dell’energia (Pefa</w:t>
      </w:r>
      <w:r w:rsidRPr="006A503F">
        <w:t xml:space="preserve">). </w:t>
      </w:r>
    </w:p>
    <w:p w14:paraId="1C31BE2E" w14:textId="77777777" w:rsidR="00A014B9" w:rsidRPr="00A35518" w:rsidRDefault="00A014B9" w:rsidP="00A35518">
      <w:pPr>
        <w:pStyle w:val="Titolo3"/>
        <w:spacing w:before="0" w:beforeAutospacing="0" w:after="120" w:afterAutospacing="0"/>
        <w:jc w:val="both"/>
        <w:rPr>
          <w:rFonts w:ascii="Arial" w:eastAsiaTheme="minorHAnsi" w:hAnsi="Arial" w:cs="Arial"/>
          <w:b w:val="0"/>
          <w:sz w:val="20"/>
          <w:lang w:eastAsia="en-US"/>
        </w:rPr>
      </w:pPr>
      <w:r w:rsidRPr="006A503F">
        <w:rPr>
          <w:rFonts w:ascii="Arial" w:eastAsia="Calibri" w:hAnsi="Arial" w:cs="Arial"/>
          <w:b w:val="0"/>
          <w:bCs w:val="0"/>
          <w:color w:val="1F497D"/>
          <w:sz w:val="22"/>
          <w:szCs w:val="20"/>
        </w:rPr>
        <w:t xml:space="preserve">Conti della spesa per la protezione dell’ambiente. </w:t>
      </w:r>
      <w:r w:rsidRPr="00A35518">
        <w:rPr>
          <w:rFonts w:ascii="Arial" w:eastAsiaTheme="minorHAnsi" w:hAnsi="Arial" w:cs="Arial"/>
          <w:b w:val="0"/>
          <w:sz w:val="20"/>
          <w:lang w:eastAsia="en-US"/>
        </w:rPr>
        <w:t xml:space="preserve">Le principali fonti informative utilizzate per la stima degli aggregati dei conti della spesa per la protezione dell’ambiente sono: </w:t>
      </w:r>
    </w:p>
    <w:p w14:paraId="3B599C9D" w14:textId="562B08EB" w:rsidR="00A014B9" w:rsidRPr="006A503F" w:rsidRDefault="00A014B9" w:rsidP="00A8174A">
      <w:pPr>
        <w:pStyle w:val="Nessunaspaziatura"/>
        <w:numPr>
          <w:ilvl w:val="0"/>
          <w:numId w:val="40"/>
        </w:numPr>
      </w:pPr>
      <w:r w:rsidRPr="006A503F">
        <w:t xml:space="preserve">i conti economici nazionali - principalmente le tavole risorse e impieghi, i conti della </w:t>
      </w:r>
      <w:r w:rsidR="007F3CCA">
        <w:t>Pubblica amministrazione</w:t>
      </w:r>
      <w:r w:rsidRPr="006A503F">
        <w:t xml:space="preserve"> per funzione (C</w:t>
      </w:r>
      <w:r w:rsidR="00F0457F">
        <w:t>ofog</w:t>
      </w:r>
      <w:r w:rsidRPr="006A503F">
        <w:t xml:space="preserve">), investimenti per branca proprietaria; </w:t>
      </w:r>
    </w:p>
    <w:p w14:paraId="77DA0BD2" w14:textId="2104355C" w:rsidR="00A014B9" w:rsidRPr="006A503F" w:rsidRDefault="00A014B9" w:rsidP="00A8174A">
      <w:pPr>
        <w:pStyle w:val="Nessunaspaziatura"/>
        <w:numPr>
          <w:ilvl w:val="0"/>
          <w:numId w:val="40"/>
        </w:numPr>
      </w:pPr>
      <w:r w:rsidRPr="006A503F">
        <w:t>dati di indagine: investimenti e spese correnti per la protezione dell’ambiente rilevate dalle indagini S</w:t>
      </w:r>
      <w:r w:rsidR="00F0457F">
        <w:t>ci</w:t>
      </w:r>
      <w:r w:rsidRPr="006A503F">
        <w:t xml:space="preserve"> - Sistema dei </w:t>
      </w:r>
      <w:r w:rsidR="00F0457F" w:rsidRPr="006A503F">
        <w:t>conti delle imprese</w:t>
      </w:r>
      <w:r w:rsidRPr="006A503F">
        <w:t xml:space="preserve"> e P</w:t>
      </w:r>
      <w:r w:rsidR="00F0457F">
        <w:t>mi</w:t>
      </w:r>
      <w:r w:rsidRPr="006A503F">
        <w:t xml:space="preserve"> - Piccole e </w:t>
      </w:r>
      <w:r w:rsidR="00F0457F">
        <w:t>medie i</w:t>
      </w:r>
      <w:r w:rsidRPr="006A503F">
        <w:t>mprese ed esercizio di arti e professioni; per la stima di alcuni aggregati di spesa per la protezione dell’ambiente, vengono implementate metodologie ad hoc al fine di garantire la coerenza dei dati di indagine con i dati dei conti economici nazionali.</w:t>
      </w:r>
    </w:p>
    <w:p w14:paraId="030480DD" w14:textId="77777777" w:rsidR="00A014B9" w:rsidRPr="00A35518" w:rsidRDefault="00A014B9" w:rsidP="00A35518">
      <w:pPr>
        <w:pStyle w:val="Titolo3"/>
        <w:spacing w:before="0" w:beforeAutospacing="0" w:after="120" w:afterAutospacing="0"/>
        <w:jc w:val="both"/>
        <w:rPr>
          <w:rFonts w:ascii="Arial" w:eastAsiaTheme="minorHAnsi" w:hAnsi="Arial" w:cs="Arial"/>
          <w:b w:val="0"/>
          <w:sz w:val="20"/>
          <w:lang w:eastAsia="en-US"/>
        </w:rPr>
      </w:pPr>
      <w:r w:rsidRPr="006A503F">
        <w:rPr>
          <w:rFonts w:ascii="Arial" w:eastAsia="Calibri" w:hAnsi="Arial" w:cs="Arial"/>
          <w:b w:val="0"/>
          <w:bCs w:val="0"/>
          <w:color w:val="1F497D"/>
          <w:sz w:val="22"/>
          <w:szCs w:val="20"/>
        </w:rPr>
        <w:t>Conti delle imposte ambientali.</w:t>
      </w:r>
      <w:r w:rsidRPr="00A35518">
        <w:rPr>
          <w:rFonts w:ascii="Arial" w:hAnsi="Arial" w:cs="Arial"/>
          <w:b w:val="0"/>
        </w:rPr>
        <w:t xml:space="preserve"> </w:t>
      </w:r>
      <w:r w:rsidRPr="00A35518">
        <w:rPr>
          <w:rFonts w:ascii="Arial" w:eastAsiaTheme="minorHAnsi" w:hAnsi="Arial" w:cs="Arial"/>
          <w:b w:val="0"/>
          <w:sz w:val="20"/>
          <w:lang w:eastAsia="en-US"/>
        </w:rPr>
        <w:t>I dati sulle imposte ambientali originano dalle elaborazioni effettuate nel contesto della contabilità nazionale per la costruzione dei Conti ed aggregati economici delle Amministrazioni pubbliche. In alcuni casi il gettito della singola imposta è individuabile singolarmente nei conti, in altri è parte di aggregati più ampi.</w:t>
      </w:r>
    </w:p>
    <w:p w14:paraId="5ED03E47" w14:textId="77777777" w:rsidR="00A014B9" w:rsidRPr="00CE7D0F" w:rsidRDefault="00A014B9" w:rsidP="00CE7D0F">
      <w:pPr>
        <w:pStyle w:val="Titolo2"/>
        <w:autoSpaceDE w:val="0"/>
        <w:autoSpaceDN w:val="0"/>
        <w:adjustRightInd w:val="0"/>
        <w:jc w:val="both"/>
        <w:rPr>
          <w:rFonts w:ascii="Arial" w:hAnsi="Arial" w:cs="Arial"/>
          <w:b/>
          <w:bCs w:val="0"/>
          <w:i w:val="0"/>
          <w:color w:val="1F497D" w:themeColor="text2"/>
          <w:sz w:val="22"/>
          <w:szCs w:val="22"/>
        </w:rPr>
      </w:pPr>
      <w:r w:rsidRPr="00CE7D0F">
        <w:rPr>
          <w:rFonts w:ascii="Arial" w:hAnsi="Arial" w:cs="Arial"/>
          <w:b/>
          <w:bCs w:val="0"/>
          <w:i w:val="0"/>
          <w:color w:val="1F497D" w:themeColor="text2"/>
          <w:sz w:val="22"/>
          <w:szCs w:val="22"/>
        </w:rPr>
        <w:t>Le politiche di diffusione e revisione</w:t>
      </w:r>
    </w:p>
    <w:p w14:paraId="75F21923" w14:textId="77777777" w:rsidR="00A014B9" w:rsidRPr="00CE7D0F" w:rsidRDefault="00A014B9" w:rsidP="00CE7D0F">
      <w:pPr>
        <w:spacing w:after="120"/>
        <w:jc w:val="both"/>
        <w:rPr>
          <w:rFonts w:ascii="Arial" w:eastAsiaTheme="minorHAnsi" w:hAnsi="Arial" w:cs="Arial"/>
          <w:sz w:val="20"/>
          <w:szCs w:val="20"/>
          <w:lang w:eastAsia="en-US"/>
        </w:rPr>
      </w:pPr>
      <w:r w:rsidRPr="00CE7D0F">
        <w:rPr>
          <w:rFonts w:ascii="Arial" w:eastAsiaTheme="minorHAnsi" w:hAnsi="Arial" w:cs="Arial"/>
          <w:sz w:val="20"/>
          <w:szCs w:val="20"/>
          <w:lang w:eastAsia="en-US"/>
        </w:rPr>
        <w:t>Le stime dei conti ambientali vengono diffuse una volta l’anno (denominato t), ad eccezione degli aggregati delle imposte ambientali per i quali sono previste due uscite, secondo il seguente calendario: nel mese di febbraio i conti delle spese per la protezione dell’ambiente (serie storica fino all’anno t-3), a maggio le imposte ambientali e i flussi di materia (serie storica fino all’anno t-2)</w:t>
      </w:r>
      <w:r w:rsidRPr="00CE7D0F">
        <w:rPr>
          <w:rStyle w:val="Rimandonotaapidipagina"/>
          <w:rFonts w:ascii="Arial" w:eastAsiaTheme="minorHAnsi" w:hAnsi="Arial" w:cs="Arial"/>
          <w:sz w:val="20"/>
          <w:szCs w:val="20"/>
          <w:lang w:eastAsia="en-US"/>
        </w:rPr>
        <w:footnoteReference w:id="4"/>
      </w:r>
      <w:r w:rsidRPr="00CE7D0F">
        <w:rPr>
          <w:rFonts w:ascii="Arial" w:eastAsiaTheme="minorHAnsi" w:hAnsi="Arial" w:cs="Arial"/>
          <w:sz w:val="20"/>
          <w:szCs w:val="20"/>
          <w:lang w:eastAsia="en-US"/>
        </w:rPr>
        <w:t xml:space="preserve">, a ottobre/novembre i flussi energetici fisici e le emissioni atmosferiche (serie storica fino all’anno t-2)  e l’aggiornamento della serie delle imposte ambientali diffusa a maggio, a dicembre gli aggregati del settore dei beni e servizi ambientali (serie storica fino all’anno t-2). Le serie storiche vengono aggiornate annualmente per recepire aggiornamenti degli input e rivisti in occasione di revisioni metodologiche, incluse le revisioni generali dei conti nazionali. </w:t>
      </w:r>
    </w:p>
    <w:p w14:paraId="63BB4168" w14:textId="77777777" w:rsidR="00A014B9" w:rsidRPr="00CE7D0F" w:rsidRDefault="00A014B9" w:rsidP="00CE7D0F">
      <w:pPr>
        <w:spacing w:after="120"/>
        <w:jc w:val="both"/>
        <w:rPr>
          <w:rFonts w:ascii="Arial" w:eastAsia="Calibri" w:hAnsi="Arial" w:cs="Arial"/>
        </w:rPr>
      </w:pPr>
      <w:r w:rsidRPr="00CE7D0F">
        <w:rPr>
          <w:rFonts w:ascii="Arial" w:eastAsia="Calibri" w:hAnsi="Arial" w:cs="Arial"/>
        </w:rPr>
        <w:br w:type="page"/>
      </w:r>
    </w:p>
    <w:p w14:paraId="21C92FFD" w14:textId="77777777" w:rsidR="00A014B9" w:rsidRPr="00CE7D0F" w:rsidRDefault="00A014B9" w:rsidP="00D548C8">
      <w:pPr>
        <w:pStyle w:val="Titolo2"/>
        <w:autoSpaceDE w:val="0"/>
        <w:autoSpaceDN w:val="0"/>
        <w:adjustRightInd w:val="0"/>
        <w:spacing w:before="240"/>
        <w:jc w:val="both"/>
        <w:rPr>
          <w:rFonts w:ascii="Arial" w:hAnsi="Arial" w:cs="Arial"/>
          <w:b/>
          <w:bCs w:val="0"/>
          <w:i w:val="0"/>
          <w:color w:val="1F497D" w:themeColor="text2"/>
          <w:sz w:val="22"/>
          <w:szCs w:val="22"/>
        </w:rPr>
      </w:pPr>
      <w:r w:rsidRPr="00CE7D0F">
        <w:rPr>
          <w:rFonts w:ascii="Arial" w:hAnsi="Arial" w:cs="Arial"/>
          <w:b/>
          <w:bCs w:val="0"/>
          <w:i w:val="0"/>
          <w:color w:val="1F497D" w:themeColor="text2"/>
          <w:sz w:val="22"/>
          <w:szCs w:val="22"/>
        </w:rPr>
        <w:lastRenderedPageBreak/>
        <w:t xml:space="preserve">Aggregazioni di attività economiche utilizzate nella Statistica Report: </w:t>
      </w:r>
    </w:p>
    <w:p w14:paraId="3E42C464" w14:textId="7E73B95F" w:rsidR="00A014B9" w:rsidRPr="00CE7D0F" w:rsidRDefault="00A014B9" w:rsidP="00A014B9">
      <w:pPr>
        <w:pStyle w:val="Paragrafoelenco"/>
        <w:numPr>
          <w:ilvl w:val="0"/>
          <w:numId w:val="42"/>
        </w:numPr>
        <w:autoSpaceDE w:val="0"/>
        <w:autoSpaceDN w:val="0"/>
        <w:adjustRightInd w:val="0"/>
        <w:spacing w:after="120"/>
        <w:jc w:val="both"/>
        <w:rPr>
          <w:rFonts w:ascii="Arial Narrow" w:eastAsia="Calibri" w:hAnsi="Arial Narrow"/>
          <w:sz w:val="18"/>
          <w:szCs w:val="18"/>
        </w:rPr>
      </w:pPr>
      <w:r w:rsidRPr="00CE7D0F">
        <w:rPr>
          <w:rFonts w:ascii="Arial Narrow" w:eastAsia="Calibri" w:hAnsi="Arial Narrow"/>
          <w:sz w:val="18"/>
          <w:szCs w:val="18"/>
        </w:rPr>
        <w:t>Aggregazione A*3 (secondo il programma di trasmissione del S</w:t>
      </w:r>
      <w:r w:rsidR="00E33844">
        <w:rPr>
          <w:rFonts w:ascii="Arial Narrow" w:eastAsia="Calibri" w:hAnsi="Arial Narrow"/>
          <w:sz w:val="18"/>
          <w:szCs w:val="18"/>
        </w:rPr>
        <w:t>ec</w:t>
      </w:r>
      <w:r w:rsidRPr="00CE7D0F">
        <w:rPr>
          <w:rFonts w:ascii="Arial Narrow" w:eastAsia="Calibri" w:hAnsi="Arial Narrow"/>
          <w:sz w:val="18"/>
          <w:szCs w:val="18"/>
        </w:rPr>
        <w:t>2010) e raccordo con le sezioni della classificazione Ateco (N</w:t>
      </w:r>
      <w:r w:rsidR="00E33844">
        <w:rPr>
          <w:rFonts w:ascii="Arial Narrow" w:eastAsia="Calibri" w:hAnsi="Arial Narrow"/>
          <w:sz w:val="18"/>
          <w:szCs w:val="18"/>
        </w:rPr>
        <w:t>ace</w:t>
      </w:r>
      <w:r w:rsidRPr="00CE7D0F">
        <w:rPr>
          <w:rFonts w:ascii="Arial Narrow" w:eastAsia="Calibri" w:hAnsi="Arial Narrow"/>
          <w:sz w:val="18"/>
          <w:szCs w:val="18"/>
        </w:rPr>
        <w:t xml:space="preserve"> Rev.2)</w:t>
      </w:r>
    </w:p>
    <w:tbl>
      <w:tblPr>
        <w:tblStyle w:val="Grigliatabella"/>
        <w:tblW w:w="10201" w:type="dxa"/>
        <w:tblLook w:val="04A0" w:firstRow="1" w:lastRow="0" w:firstColumn="1" w:lastColumn="0" w:noHBand="0" w:noVBand="1"/>
      </w:tblPr>
      <w:tblGrid>
        <w:gridCol w:w="1726"/>
        <w:gridCol w:w="1366"/>
        <w:gridCol w:w="7109"/>
      </w:tblGrid>
      <w:tr w:rsidR="00A014B9" w:rsidRPr="00673EB2" w14:paraId="395EC40C" w14:textId="77777777" w:rsidTr="00CE7D0F">
        <w:tc>
          <w:tcPr>
            <w:tcW w:w="1726" w:type="dxa"/>
            <w:shd w:val="clear" w:color="auto" w:fill="D9D9D9" w:themeFill="background1" w:themeFillShade="D9"/>
          </w:tcPr>
          <w:p w14:paraId="2275151C" w14:textId="77777777" w:rsidR="00A014B9" w:rsidRPr="00CE7D0F" w:rsidRDefault="00A014B9" w:rsidP="00C27B86">
            <w:pPr>
              <w:jc w:val="center"/>
              <w:rPr>
                <w:rFonts w:ascii="Arial Narrow" w:eastAsia="Calibri" w:hAnsi="Arial Narrow"/>
                <w:sz w:val="18"/>
                <w:szCs w:val="18"/>
              </w:rPr>
            </w:pPr>
            <w:r w:rsidRPr="00CE7D0F">
              <w:rPr>
                <w:rFonts w:ascii="Arial Narrow" w:eastAsia="Calibri" w:hAnsi="Arial Narrow"/>
                <w:sz w:val="18"/>
                <w:szCs w:val="18"/>
              </w:rPr>
              <w:t xml:space="preserve">Denominazione </w:t>
            </w:r>
          </w:p>
        </w:tc>
        <w:tc>
          <w:tcPr>
            <w:tcW w:w="1366" w:type="dxa"/>
            <w:shd w:val="clear" w:color="auto" w:fill="D9D9D9" w:themeFill="background1" w:themeFillShade="D9"/>
          </w:tcPr>
          <w:p w14:paraId="00B7926A" w14:textId="77777777" w:rsidR="00A014B9" w:rsidRPr="00CE7D0F" w:rsidRDefault="00A014B9" w:rsidP="00C27B86">
            <w:pPr>
              <w:jc w:val="center"/>
              <w:rPr>
                <w:rFonts w:ascii="Arial Narrow" w:eastAsia="Calibri" w:hAnsi="Arial Narrow"/>
                <w:sz w:val="18"/>
                <w:szCs w:val="18"/>
              </w:rPr>
            </w:pPr>
            <w:r w:rsidRPr="00CE7D0F">
              <w:rPr>
                <w:rFonts w:ascii="Arial Narrow" w:eastAsia="Calibri" w:hAnsi="Arial Narrow"/>
                <w:sz w:val="18"/>
                <w:szCs w:val="18"/>
              </w:rPr>
              <w:t>Sezione Ateco</w:t>
            </w:r>
          </w:p>
        </w:tc>
        <w:tc>
          <w:tcPr>
            <w:tcW w:w="7109" w:type="dxa"/>
            <w:shd w:val="clear" w:color="auto" w:fill="D9D9D9" w:themeFill="background1" w:themeFillShade="D9"/>
          </w:tcPr>
          <w:p w14:paraId="1D78ABAD" w14:textId="77777777" w:rsidR="00A014B9" w:rsidRPr="00CE7D0F" w:rsidRDefault="00A014B9" w:rsidP="00C27B86">
            <w:pPr>
              <w:jc w:val="center"/>
              <w:rPr>
                <w:rFonts w:ascii="Arial Narrow" w:eastAsia="Calibri" w:hAnsi="Arial Narrow"/>
                <w:sz w:val="18"/>
                <w:szCs w:val="18"/>
              </w:rPr>
            </w:pPr>
            <w:r w:rsidRPr="00CE7D0F">
              <w:rPr>
                <w:rFonts w:ascii="Arial Narrow" w:eastAsia="Calibri" w:hAnsi="Arial Narrow"/>
                <w:sz w:val="18"/>
                <w:szCs w:val="18"/>
              </w:rPr>
              <w:t>DESCRIZIONE</w:t>
            </w:r>
          </w:p>
        </w:tc>
      </w:tr>
      <w:tr w:rsidR="00A014B9" w:rsidRPr="00673EB2" w14:paraId="048332C8" w14:textId="77777777" w:rsidTr="00CE7D0F">
        <w:tc>
          <w:tcPr>
            <w:tcW w:w="1726" w:type="dxa"/>
          </w:tcPr>
          <w:p w14:paraId="0393C82F" w14:textId="77777777" w:rsidR="00A014B9" w:rsidRPr="00CE7D0F" w:rsidRDefault="00A014B9" w:rsidP="00C27B86">
            <w:pPr>
              <w:rPr>
                <w:rFonts w:ascii="Arial Narrow" w:eastAsia="Calibri" w:hAnsi="Arial Narrow"/>
                <w:sz w:val="18"/>
                <w:szCs w:val="18"/>
              </w:rPr>
            </w:pPr>
            <w:r w:rsidRPr="00CE7D0F">
              <w:rPr>
                <w:rFonts w:ascii="Arial Narrow" w:eastAsia="Calibri" w:hAnsi="Arial Narrow"/>
                <w:sz w:val="18"/>
                <w:szCs w:val="18"/>
              </w:rPr>
              <w:t>Agricoltura</w:t>
            </w:r>
          </w:p>
        </w:tc>
        <w:tc>
          <w:tcPr>
            <w:tcW w:w="1366" w:type="dxa"/>
          </w:tcPr>
          <w:p w14:paraId="57735757" w14:textId="77777777" w:rsidR="00A014B9" w:rsidRPr="00CE7D0F" w:rsidRDefault="00A014B9" w:rsidP="00C27B86">
            <w:pPr>
              <w:rPr>
                <w:rFonts w:ascii="Arial Narrow" w:eastAsia="Calibri" w:hAnsi="Arial Narrow"/>
                <w:sz w:val="18"/>
                <w:szCs w:val="18"/>
              </w:rPr>
            </w:pPr>
            <w:r w:rsidRPr="00CE7D0F">
              <w:rPr>
                <w:rFonts w:ascii="Arial Narrow" w:eastAsia="Calibri" w:hAnsi="Arial Narrow"/>
                <w:sz w:val="18"/>
                <w:szCs w:val="18"/>
              </w:rPr>
              <w:t>A</w:t>
            </w:r>
          </w:p>
        </w:tc>
        <w:tc>
          <w:tcPr>
            <w:tcW w:w="7109" w:type="dxa"/>
          </w:tcPr>
          <w:p w14:paraId="7EEA7B25" w14:textId="77777777" w:rsidR="00A014B9" w:rsidRPr="00CE7D0F" w:rsidRDefault="00A014B9" w:rsidP="00C27B86">
            <w:pPr>
              <w:rPr>
                <w:rFonts w:ascii="Arial Narrow" w:eastAsia="Calibri" w:hAnsi="Arial Narrow"/>
                <w:sz w:val="18"/>
                <w:szCs w:val="18"/>
              </w:rPr>
            </w:pPr>
            <w:r w:rsidRPr="00CE7D0F">
              <w:rPr>
                <w:rFonts w:ascii="Arial Narrow" w:eastAsia="Calibri" w:hAnsi="Arial Narrow"/>
                <w:sz w:val="18"/>
                <w:szCs w:val="18"/>
              </w:rPr>
              <w:t>Agricoltura, silvicoltura e pesca</w:t>
            </w:r>
          </w:p>
        </w:tc>
      </w:tr>
      <w:tr w:rsidR="00A014B9" w:rsidRPr="00673EB2" w14:paraId="09CFDD12" w14:textId="77777777" w:rsidTr="00CE7D0F">
        <w:tc>
          <w:tcPr>
            <w:tcW w:w="1726" w:type="dxa"/>
          </w:tcPr>
          <w:p w14:paraId="383FCB58" w14:textId="77777777" w:rsidR="00A014B9" w:rsidRPr="00CE7D0F" w:rsidRDefault="00A014B9" w:rsidP="00C27B86">
            <w:pPr>
              <w:rPr>
                <w:rFonts w:ascii="Arial Narrow" w:eastAsia="Calibri" w:hAnsi="Arial Narrow"/>
                <w:sz w:val="18"/>
                <w:szCs w:val="18"/>
              </w:rPr>
            </w:pPr>
            <w:r w:rsidRPr="00CE7D0F">
              <w:rPr>
                <w:rFonts w:ascii="Arial Narrow" w:eastAsia="Calibri" w:hAnsi="Arial Narrow"/>
                <w:sz w:val="18"/>
                <w:szCs w:val="18"/>
              </w:rPr>
              <w:t>Industria</w:t>
            </w:r>
          </w:p>
        </w:tc>
        <w:tc>
          <w:tcPr>
            <w:tcW w:w="1366" w:type="dxa"/>
          </w:tcPr>
          <w:p w14:paraId="0268BAA7" w14:textId="77777777" w:rsidR="00A014B9" w:rsidRPr="00CE7D0F" w:rsidRDefault="00A014B9" w:rsidP="00C27B86">
            <w:pPr>
              <w:rPr>
                <w:rFonts w:ascii="Arial Narrow" w:eastAsia="Calibri" w:hAnsi="Arial Narrow"/>
                <w:sz w:val="18"/>
                <w:szCs w:val="18"/>
              </w:rPr>
            </w:pPr>
            <w:r w:rsidRPr="00CE7D0F">
              <w:rPr>
                <w:rFonts w:ascii="Arial Narrow" w:eastAsia="Calibri" w:hAnsi="Arial Narrow"/>
                <w:sz w:val="18"/>
                <w:szCs w:val="18"/>
              </w:rPr>
              <w:t>B, C, D, E e F</w:t>
            </w:r>
          </w:p>
        </w:tc>
        <w:tc>
          <w:tcPr>
            <w:tcW w:w="7109" w:type="dxa"/>
          </w:tcPr>
          <w:p w14:paraId="06CD3751" w14:textId="77777777" w:rsidR="00A014B9" w:rsidRPr="00CE7D0F" w:rsidRDefault="00A014B9" w:rsidP="00C27B86">
            <w:pPr>
              <w:rPr>
                <w:rFonts w:ascii="Arial Narrow" w:eastAsia="Calibri" w:hAnsi="Arial Narrow"/>
                <w:sz w:val="18"/>
                <w:szCs w:val="18"/>
              </w:rPr>
            </w:pPr>
            <w:r w:rsidRPr="00CE7D0F">
              <w:rPr>
                <w:rFonts w:ascii="Arial Narrow" w:eastAsia="Calibri" w:hAnsi="Arial Narrow"/>
                <w:sz w:val="18"/>
                <w:szCs w:val="18"/>
              </w:rPr>
              <w:t>Attività estrattiva; attività manifatturiere; fornitura di energia elettrica, gas, vapore e aria condizionata; fornitura di acqua; reti fognarie, attività di trattamento dei rifiuti e risanamento; costruzioni</w:t>
            </w:r>
          </w:p>
        </w:tc>
      </w:tr>
      <w:tr w:rsidR="00A014B9" w:rsidRPr="00673EB2" w14:paraId="188A9B77" w14:textId="77777777" w:rsidTr="00CE7D0F">
        <w:tc>
          <w:tcPr>
            <w:tcW w:w="1726" w:type="dxa"/>
          </w:tcPr>
          <w:p w14:paraId="0660C051" w14:textId="77777777" w:rsidR="00A014B9" w:rsidRPr="00CE7D0F" w:rsidRDefault="00A014B9" w:rsidP="00C27B86">
            <w:pPr>
              <w:rPr>
                <w:rFonts w:ascii="Arial Narrow" w:eastAsia="Calibri" w:hAnsi="Arial Narrow"/>
                <w:sz w:val="18"/>
                <w:szCs w:val="18"/>
              </w:rPr>
            </w:pPr>
            <w:r w:rsidRPr="00CE7D0F">
              <w:rPr>
                <w:rFonts w:ascii="Arial Narrow" w:eastAsia="Calibri" w:hAnsi="Arial Narrow"/>
                <w:sz w:val="18"/>
                <w:szCs w:val="18"/>
              </w:rPr>
              <w:t>Servizi</w:t>
            </w:r>
          </w:p>
        </w:tc>
        <w:tc>
          <w:tcPr>
            <w:tcW w:w="1366" w:type="dxa"/>
          </w:tcPr>
          <w:p w14:paraId="48BEA444" w14:textId="77777777" w:rsidR="00A014B9" w:rsidRPr="00CE7D0F" w:rsidRDefault="00A014B9" w:rsidP="00C27B86">
            <w:pPr>
              <w:rPr>
                <w:rFonts w:ascii="Arial Narrow" w:eastAsia="Calibri" w:hAnsi="Arial Narrow"/>
                <w:sz w:val="18"/>
                <w:szCs w:val="18"/>
              </w:rPr>
            </w:pPr>
            <w:r w:rsidRPr="00CE7D0F">
              <w:rPr>
                <w:rFonts w:ascii="Arial Narrow" w:eastAsia="Calibri" w:hAnsi="Arial Narrow"/>
                <w:sz w:val="18"/>
                <w:szCs w:val="18"/>
              </w:rPr>
              <w:t>G, H, I, J, K, L, M, N, O, P, Q, R, S, T e U</w:t>
            </w:r>
          </w:p>
        </w:tc>
        <w:tc>
          <w:tcPr>
            <w:tcW w:w="7109" w:type="dxa"/>
          </w:tcPr>
          <w:p w14:paraId="54B0AA85" w14:textId="77777777" w:rsidR="00A014B9" w:rsidRPr="00CE7D0F" w:rsidRDefault="00A014B9" w:rsidP="00C27B86">
            <w:pPr>
              <w:rPr>
                <w:rFonts w:ascii="Arial Narrow" w:eastAsia="Calibri" w:hAnsi="Arial Narrow"/>
                <w:sz w:val="18"/>
                <w:szCs w:val="18"/>
              </w:rPr>
            </w:pPr>
            <w:r w:rsidRPr="00CE7D0F">
              <w:rPr>
                <w:rFonts w:ascii="Arial Narrow" w:eastAsia="Calibri" w:hAnsi="Arial Narrow"/>
                <w:sz w:val="18"/>
                <w:szCs w:val="18"/>
              </w:rPr>
              <w:t>Servizi</w:t>
            </w:r>
          </w:p>
        </w:tc>
      </w:tr>
    </w:tbl>
    <w:p w14:paraId="187AF455" w14:textId="77777777" w:rsidR="00A014B9" w:rsidRPr="00CE7D0F" w:rsidRDefault="00A014B9" w:rsidP="00A014B9">
      <w:pPr>
        <w:tabs>
          <w:tab w:val="left" w:pos="1858"/>
          <w:tab w:val="left" w:pos="3249"/>
        </w:tabs>
        <w:ind w:left="113"/>
        <w:rPr>
          <w:rFonts w:ascii="Arial Narrow" w:eastAsia="Calibri" w:hAnsi="Arial Narrow"/>
          <w:sz w:val="18"/>
          <w:szCs w:val="18"/>
        </w:rPr>
      </w:pPr>
      <w:r w:rsidRPr="00CE7D0F">
        <w:rPr>
          <w:rFonts w:ascii="Arial Narrow" w:eastAsia="Calibri" w:hAnsi="Arial Narrow"/>
          <w:sz w:val="18"/>
          <w:szCs w:val="18"/>
        </w:rPr>
        <w:tab/>
      </w:r>
      <w:r w:rsidRPr="00CE7D0F">
        <w:rPr>
          <w:rFonts w:ascii="Arial Narrow" w:eastAsia="Calibri" w:hAnsi="Arial Narrow"/>
          <w:sz w:val="18"/>
          <w:szCs w:val="18"/>
        </w:rPr>
        <w:tab/>
      </w:r>
    </w:p>
    <w:p w14:paraId="3FFC1B06" w14:textId="73998933" w:rsidR="00A014B9" w:rsidRPr="00CE7D0F" w:rsidRDefault="00A014B9" w:rsidP="00A014B9">
      <w:pPr>
        <w:pStyle w:val="Paragrafoelenco"/>
        <w:numPr>
          <w:ilvl w:val="0"/>
          <w:numId w:val="42"/>
        </w:numPr>
        <w:autoSpaceDE w:val="0"/>
        <w:autoSpaceDN w:val="0"/>
        <w:adjustRightInd w:val="0"/>
        <w:spacing w:after="120"/>
        <w:jc w:val="both"/>
        <w:rPr>
          <w:rFonts w:ascii="Arial Narrow" w:eastAsia="Calibri" w:hAnsi="Arial Narrow"/>
          <w:sz w:val="18"/>
          <w:szCs w:val="18"/>
        </w:rPr>
      </w:pPr>
      <w:r w:rsidRPr="00CE7D0F">
        <w:rPr>
          <w:rFonts w:ascii="Arial Narrow" w:eastAsia="Calibri" w:hAnsi="Arial Narrow"/>
          <w:sz w:val="18"/>
          <w:szCs w:val="18"/>
        </w:rPr>
        <w:t>Aggregazione A*21 (secondo il programma di trasmissione del S</w:t>
      </w:r>
      <w:r w:rsidR="00E33844">
        <w:rPr>
          <w:rFonts w:ascii="Arial Narrow" w:eastAsia="Calibri" w:hAnsi="Arial Narrow"/>
          <w:sz w:val="18"/>
          <w:szCs w:val="18"/>
        </w:rPr>
        <w:t>ec</w:t>
      </w:r>
      <w:r w:rsidRPr="00CE7D0F">
        <w:rPr>
          <w:rFonts w:ascii="Arial Narrow" w:eastAsia="Calibri" w:hAnsi="Arial Narrow"/>
          <w:sz w:val="18"/>
          <w:szCs w:val="18"/>
        </w:rPr>
        <w:t>2010): sezioni della classificazione Ateco (N</w:t>
      </w:r>
      <w:r w:rsidR="00E33844">
        <w:rPr>
          <w:rFonts w:ascii="Arial Narrow" w:eastAsia="Calibri" w:hAnsi="Arial Narrow"/>
          <w:sz w:val="18"/>
          <w:szCs w:val="18"/>
        </w:rPr>
        <w:t>ace</w:t>
      </w:r>
      <w:r w:rsidRPr="00CE7D0F">
        <w:rPr>
          <w:rFonts w:ascii="Arial Narrow" w:eastAsia="Calibri" w:hAnsi="Arial Narrow"/>
          <w:sz w:val="18"/>
          <w:szCs w:val="18"/>
        </w:rPr>
        <w:t xml:space="preserve"> Rev.2) e raccordo con le divisioni</w:t>
      </w:r>
    </w:p>
    <w:tbl>
      <w:tblPr>
        <w:tblStyle w:val="Grigliatabella"/>
        <w:tblW w:w="10201" w:type="dxa"/>
        <w:tblLook w:val="04A0" w:firstRow="1" w:lastRow="0" w:firstColumn="1" w:lastColumn="0" w:noHBand="0" w:noVBand="1"/>
      </w:tblPr>
      <w:tblGrid>
        <w:gridCol w:w="933"/>
        <w:gridCol w:w="2181"/>
        <w:gridCol w:w="7087"/>
      </w:tblGrid>
      <w:tr w:rsidR="00A014B9" w:rsidRPr="00673EB2" w14:paraId="581C69E8" w14:textId="77777777" w:rsidTr="00CE7D0F">
        <w:tc>
          <w:tcPr>
            <w:tcW w:w="9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A58D38" w14:textId="77777777" w:rsidR="00A014B9" w:rsidRPr="00CE7D0F" w:rsidRDefault="00A014B9" w:rsidP="00C27B86">
            <w:pPr>
              <w:jc w:val="center"/>
              <w:rPr>
                <w:rFonts w:ascii="Arial Narrow" w:eastAsia="Calibri" w:hAnsi="Arial Narrow"/>
                <w:sz w:val="18"/>
                <w:szCs w:val="18"/>
                <w:lang w:eastAsia="en-US"/>
              </w:rPr>
            </w:pPr>
            <w:r w:rsidRPr="00CE7D0F">
              <w:rPr>
                <w:rFonts w:ascii="Arial Narrow" w:eastAsia="Calibri" w:hAnsi="Arial Narrow"/>
                <w:sz w:val="18"/>
                <w:szCs w:val="18"/>
                <w:lang w:eastAsia="en-US"/>
              </w:rPr>
              <w:t>Sezioni</w:t>
            </w:r>
          </w:p>
        </w:tc>
        <w:tc>
          <w:tcPr>
            <w:tcW w:w="21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278797" w14:textId="77777777" w:rsidR="00A014B9" w:rsidRPr="00CE7D0F" w:rsidRDefault="00A014B9" w:rsidP="00C27B86">
            <w:pPr>
              <w:jc w:val="center"/>
              <w:rPr>
                <w:rFonts w:ascii="Arial Narrow" w:eastAsia="Calibri" w:hAnsi="Arial Narrow"/>
                <w:sz w:val="18"/>
                <w:szCs w:val="18"/>
                <w:lang w:eastAsia="en-US"/>
              </w:rPr>
            </w:pPr>
            <w:r w:rsidRPr="00CE7D0F">
              <w:rPr>
                <w:rFonts w:ascii="Arial Narrow" w:eastAsia="Calibri" w:hAnsi="Arial Narrow"/>
                <w:sz w:val="18"/>
                <w:szCs w:val="18"/>
                <w:lang w:eastAsia="en-US"/>
              </w:rPr>
              <w:t>Divisioni</w:t>
            </w:r>
          </w:p>
        </w:tc>
        <w:tc>
          <w:tcPr>
            <w:tcW w:w="70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899B6D" w14:textId="77777777" w:rsidR="00A014B9" w:rsidRPr="00CE7D0F" w:rsidRDefault="00A014B9" w:rsidP="00C27B86">
            <w:pPr>
              <w:jc w:val="center"/>
              <w:rPr>
                <w:rFonts w:ascii="Arial Narrow" w:eastAsia="Calibri" w:hAnsi="Arial Narrow"/>
                <w:sz w:val="18"/>
                <w:szCs w:val="18"/>
                <w:lang w:eastAsia="en-US"/>
              </w:rPr>
            </w:pPr>
            <w:r w:rsidRPr="00CE7D0F">
              <w:rPr>
                <w:rFonts w:ascii="Arial Narrow" w:eastAsia="Calibri" w:hAnsi="Arial Narrow"/>
                <w:sz w:val="18"/>
                <w:szCs w:val="18"/>
                <w:lang w:eastAsia="en-US"/>
              </w:rPr>
              <w:t>DESCRIZIONE</w:t>
            </w:r>
          </w:p>
        </w:tc>
      </w:tr>
      <w:tr w:rsidR="00A014B9" w:rsidRPr="00673EB2" w14:paraId="74501507" w14:textId="77777777" w:rsidTr="00C27B86">
        <w:tc>
          <w:tcPr>
            <w:tcW w:w="933" w:type="dxa"/>
            <w:tcBorders>
              <w:top w:val="single" w:sz="4" w:space="0" w:color="auto"/>
              <w:left w:val="single" w:sz="4" w:space="0" w:color="auto"/>
              <w:bottom w:val="single" w:sz="4" w:space="0" w:color="auto"/>
              <w:right w:val="single" w:sz="4" w:space="0" w:color="auto"/>
            </w:tcBorders>
            <w:hideMark/>
          </w:tcPr>
          <w:p w14:paraId="5517C3CB"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A</w:t>
            </w:r>
          </w:p>
        </w:tc>
        <w:tc>
          <w:tcPr>
            <w:tcW w:w="2181" w:type="dxa"/>
            <w:tcBorders>
              <w:top w:val="single" w:sz="4" w:space="0" w:color="auto"/>
              <w:left w:val="single" w:sz="4" w:space="0" w:color="auto"/>
              <w:bottom w:val="single" w:sz="4" w:space="0" w:color="auto"/>
              <w:right w:val="single" w:sz="4" w:space="0" w:color="auto"/>
            </w:tcBorders>
          </w:tcPr>
          <w:p w14:paraId="0BBF2CC6"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01-03</w:t>
            </w:r>
          </w:p>
        </w:tc>
        <w:tc>
          <w:tcPr>
            <w:tcW w:w="7087" w:type="dxa"/>
            <w:tcBorders>
              <w:top w:val="single" w:sz="4" w:space="0" w:color="auto"/>
              <w:left w:val="single" w:sz="4" w:space="0" w:color="auto"/>
              <w:bottom w:val="single" w:sz="4" w:space="0" w:color="auto"/>
              <w:right w:val="single" w:sz="4" w:space="0" w:color="auto"/>
            </w:tcBorders>
          </w:tcPr>
          <w:p w14:paraId="40255C3B"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Agricoltura, silvicoltura e pesca</w:t>
            </w:r>
          </w:p>
        </w:tc>
      </w:tr>
      <w:tr w:rsidR="00A014B9" w:rsidRPr="00673EB2" w14:paraId="5426D441" w14:textId="77777777" w:rsidTr="00C27B86">
        <w:tc>
          <w:tcPr>
            <w:tcW w:w="933" w:type="dxa"/>
            <w:tcBorders>
              <w:top w:val="single" w:sz="4" w:space="0" w:color="auto"/>
              <w:left w:val="single" w:sz="4" w:space="0" w:color="auto"/>
              <w:bottom w:val="single" w:sz="4" w:space="0" w:color="auto"/>
              <w:right w:val="single" w:sz="4" w:space="0" w:color="auto"/>
            </w:tcBorders>
            <w:hideMark/>
          </w:tcPr>
          <w:p w14:paraId="3F43A654"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B</w:t>
            </w:r>
          </w:p>
        </w:tc>
        <w:tc>
          <w:tcPr>
            <w:tcW w:w="2181" w:type="dxa"/>
            <w:tcBorders>
              <w:top w:val="single" w:sz="4" w:space="0" w:color="auto"/>
              <w:left w:val="single" w:sz="4" w:space="0" w:color="auto"/>
              <w:bottom w:val="single" w:sz="4" w:space="0" w:color="auto"/>
              <w:right w:val="single" w:sz="4" w:space="0" w:color="auto"/>
            </w:tcBorders>
          </w:tcPr>
          <w:p w14:paraId="2150B6DD"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05-09</w:t>
            </w:r>
          </w:p>
        </w:tc>
        <w:tc>
          <w:tcPr>
            <w:tcW w:w="7087" w:type="dxa"/>
            <w:tcBorders>
              <w:top w:val="single" w:sz="4" w:space="0" w:color="auto"/>
              <w:left w:val="single" w:sz="4" w:space="0" w:color="auto"/>
              <w:bottom w:val="single" w:sz="4" w:space="0" w:color="auto"/>
              <w:right w:val="single" w:sz="4" w:space="0" w:color="auto"/>
            </w:tcBorders>
          </w:tcPr>
          <w:p w14:paraId="308407AA"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Attività estrattiva</w:t>
            </w:r>
          </w:p>
        </w:tc>
      </w:tr>
      <w:tr w:rsidR="00A014B9" w:rsidRPr="00673EB2" w14:paraId="5C8E5F8E" w14:textId="77777777" w:rsidTr="00C27B86">
        <w:tc>
          <w:tcPr>
            <w:tcW w:w="933" w:type="dxa"/>
            <w:tcBorders>
              <w:top w:val="single" w:sz="4" w:space="0" w:color="auto"/>
              <w:left w:val="single" w:sz="4" w:space="0" w:color="auto"/>
              <w:bottom w:val="single" w:sz="4" w:space="0" w:color="auto"/>
              <w:right w:val="single" w:sz="4" w:space="0" w:color="auto"/>
            </w:tcBorders>
            <w:hideMark/>
          </w:tcPr>
          <w:p w14:paraId="70A9B719"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C</w:t>
            </w:r>
          </w:p>
        </w:tc>
        <w:tc>
          <w:tcPr>
            <w:tcW w:w="2181" w:type="dxa"/>
            <w:tcBorders>
              <w:top w:val="single" w:sz="4" w:space="0" w:color="auto"/>
              <w:left w:val="single" w:sz="4" w:space="0" w:color="auto"/>
              <w:bottom w:val="single" w:sz="4" w:space="0" w:color="auto"/>
              <w:right w:val="single" w:sz="4" w:space="0" w:color="auto"/>
            </w:tcBorders>
          </w:tcPr>
          <w:p w14:paraId="39E23318"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10-33</w:t>
            </w:r>
          </w:p>
        </w:tc>
        <w:tc>
          <w:tcPr>
            <w:tcW w:w="7087" w:type="dxa"/>
            <w:tcBorders>
              <w:top w:val="single" w:sz="4" w:space="0" w:color="auto"/>
              <w:left w:val="single" w:sz="4" w:space="0" w:color="auto"/>
              <w:bottom w:val="single" w:sz="4" w:space="0" w:color="auto"/>
              <w:right w:val="single" w:sz="4" w:space="0" w:color="auto"/>
            </w:tcBorders>
          </w:tcPr>
          <w:p w14:paraId="35CEE0AF"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Attività manifatturiere</w:t>
            </w:r>
          </w:p>
        </w:tc>
      </w:tr>
      <w:tr w:rsidR="00A014B9" w:rsidRPr="00673EB2" w14:paraId="36D13D74" w14:textId="77777777" w:rsidTr="00C27B86">
        <w:tc>
          <w:tcPr>
            <w:tcW w:w="933" w:type="dxa"/>
            <w:tcBorders>
              <w:top w:val="single" w:sz="4" w:space="0" w:color="auto"/>
              <w:left w:val="single" w:sz="4" w:space="0" w:color="auto"/>
              <w:bottom w:val="single" w:sz="4" w:space="0" w:color="auto"/>
              <w:right w:val="single" w:sz="4" w:space="0" w:color="auto"/>
            </w:tcBorders>
            <w:hideMark/>
          </w:tcPr>
          <w:p w14:paraId="5CF4BD73"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D</w:t>
            </w:r>
          </w:p>
        </w:tc>
        <w:tc>
          <w:tcPr>
            <w:tcW w:w="2181" w:type="dxa"/>
            <w:tcBorders>
              <w:top w:val="single" w:sz="4" w:space="0" w:color="auto"/>
              <w:left w:val="single" w:sz="4" w:space="0" w:color="auto"/>
              <w:bottom w:val="single" w:sz="4" w:space="0" w:color="auto"/>
              <w:right w:val="single" w:sz="4" w:space="0" w:color="auto"/>
            </w:tcBorders>
          </w:tcPr>
          <w:p w14:paraId="3414D013"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35</w:t>
            </w:r>
          </w:p>
        </w:tc>
        <w:tc>
          <w:tcPr>
            <w:tcW w:w="7087" w:type="dxa"/>
            <w:tcBorders>
              <w:top w:val="single" w:sz="4" w:space="0" w:color="auto"/>
              <w:left w:val="single" w:sz="4" w:space="0" w:color="auto"/>
              <w:bottom w:val="single" w:sz="4" w:space="0" w:color="auto"/>
              <w:right w:val="single" w:sz="4" w:space="0" w:color="auto"/>
            </w:tcBorders>
          </w:tcPr>
          <w:p w14:paraId="1D7F46F1"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Fornitura di energia elettrica, gas, vapore e aria condizionata</w:t>
            </w:r>
          </w:p>
        </w:tc>
      </w:tr>
      <w:tr w:rsidR="00A014B9" w:rsidRPr="00673EB2" w14:paraId="12B2E9BE" w14:textId="77777777" w:rsidTr="00C27B86">
        <w:tc>
          <w:tcPr>
            <w:tcW w:w="933" w:type="dxa"/>
            <w:tcBorders>
              <w:top w:val="single" w:sz="4" w:space="0" w:color="auto"/>
              <w:left w:val="single" w:sz="4" w:space="0" w:color="auto"/>
              <w:bottom w:val="single" w:sz="4" w:space="0" w:color="auto"/>
              <w:right w:val="single" w:sz="4" w:space="0" w:color="auto"/>
            </w:tcBorders>
            <w:hideMark/>
          </w:tcPr>
          <w:p w14:paraId="142F63EF"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E</w:t>
            </w:r>
          </w:p>
        </w:tc>
        <w:tc>
          <w:tcPr>
            <w:tcW w:w="2181" w:type="dxa"/>
            <w:tcBorders>
              <w:top w:val="single" w:sz="4" w:space="0" w:color="auto"/>
              <w:left w:val="single" w:sz="4" w:space="0" w:color="auto"/>
              <w:bottom w:val="single" w:sz="4" w:space="0" w:color="auto"/>
              <w:right w:val="single" w:sz="4" w:space="0" w:color="auto"/>
            </w:tcBorders>
          </w:tcPr>
          <w:p w14:paraId="791984AA"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36-39</w:t>
            </w:r>
          </w:p>
        </w:tc>
        <w:tc>
          <w:tcPr>
            <w:tcW w:w="7087" w:type="dxa"/>
            <w:tcBorders>
              <w:top w:val="single" w:sz="4" w:space="0" w:color="auto"/>
              <w:left w:val="single" w:sz="4" w:space="0" w:color="auto"/>
              <w:bottom w:val="single" w:sz="4" w:space="0" w:color="auto"/>
              <w:right w:val="single" w:sz="4" w:space="0" w:color="auto"/>
            </w:tcBorders>
          </w:tcPr>
          <w:p w14:paraId="63035A7A"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Fornitura di acqua; reti fognarie, attività di trattamento dei rifiuti e risanamento</w:t>
            </w:r>
          </w:p>
        </w:tc>
      </w:tr>
      <w:tr w:rsidR="00A014B9" w:rsidRPr="00673EB2" w14:paraId="3E452D50" w14:textId="77777777" w:rsidTr="00C27B86">
        <w:tc>
          <w:tcPr>
            <w:tcW w:w="933" w:type="dxa"/>
            <w:tcBorders>
              <w:top w:val="single" w:sz="4" w:space="0" w:color="auto"/>
              <w:left w:val="single" w:sz="4" w:space="0" w:color="auto"/>
              <w:bottom w:val="single" w:sz="4" w:space="0" w:color="auto"/>
              <w:right w:val="single" w:sz="4" w:space="0" w:color="auto"/>
            </w:tcBorders>
            <w:hideMark/>
          </w:tcPr>
          <w:p w14:paraId="74BDD551"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F</w:t>
            </w:r>
          </w:p>
        </w:tc>
        <w:tc>
          <w:tcPr>
            <w:tcW w:w="2181" w:type="dxa"/>
            <w:tcBorders>
              <w:top w:val="single" w:sz="4" w:space="0" w:color="auto"/>
              <w:left w:val="single" w:sz="4" w:space="0" w:color="auto"/>
              <w:bottom w:val="single" w:sz="4" w:space="0" w:color="auto"/>
              <w:right w:val="single" w:sz="4" w:space="0" w:color="auto"/>
            </w:tcBorders>
          </w:tcPr>
          <w:p w14:paraId="31AD8694"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41-43</w:t>
            </w:r>
          </w:p>
        </w:tc>
        <w:tc>
          <w:tcPr>
            <w:tcW w:w="7087" w:type="dxa"/>
            <w:tcBorders>
              <w:top w:val="single" w:sz="4" w:space="0" w:color="auto"/>
              <w:left w:val="single" w:sz="4" w:space="0" w:color="auto"/>
              <w:bottom w:val="single" w:sz="4" w:space="0" w:color="auto"/>
              <w:right w:val="single" w:sz="4" w:space="0" w:color="auto"/>
            </w:tcBorders>
          </w:tcPr>
          <w:p w14:paraId="6910A2DF"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Costruzioni</w:t>
            </w:r>
          </w:p>
        </w:tc>
      </w:tr>
      <w:tr w:rsidR="00A014B9" w:rsidRPr="00673EB2" w14:paraId="7DB452A1" w14:textId="77777777" w:rsidTr="00C27B86">
        <w:tc>
          <w:tcPr>
            <w:tcW w:w="933" w:type="dxa"/>
            <w:tcBorders>
              <w:top w:val="single" w:sz="4" w:space="0" w:color="auto"/>
              <w:left w:val="single" w:sz="4" w:space="0" w:color="auto"/>
              <w:bottom w:val="single" w:sz="4" w:space="0" w:color="auto"/>
              <w:right w:val="single" w:sz="4" w:space="0" w:color="auto"/>
            </w:tcBorders>
            <w:hideMark/>
          </w:tcPr>
          <w:p w14:paraId="7EE829E7"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G</w:t>
            </w:r>
          </w:p>
        </w:tc>
        <w:tc>
          <w:tcPr>
            <w:tcW w:w="2181" w:type="dxa"/>
            <w:tcBorders>
              <w:top w:val="single" w:sz="4" w:space="0" w:color="auto"/>
              <w:left w:val="single" w:sz="4" w:space="0" w:color="auto"/>
              <w:bottom w:val="single" w:sz="4" w:space="0" w:color="auto"/>
              <w:right w:val="single" w:sz="4" w:space="0" w:color="auto"/>
            </w:tcBorders>
          </w:tcPr>
          <w:p w14:paraId="2B9C8CF0"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45-47</w:t>
            </w:r>
          </w:p>
        </w:tc>
        <w:tc>
          <w:tcPr>
            <w:tcW w:w="7087" w:type="dxa"/>
            <w:tcBorders>
              <w:top w:val="single" w:sz="4" w:space="0" w:color="auto"/>
              <w:left w:val="single" w:sz="4" w:space="0" w:color="auto"/>
              <w:bottom w:val="single" w:sz="4" w:space="0" w:color="auto"/>
              <w:right w:val="single" w:sz="4" w:space="0" w:color="auto"/>
            </w:tcBorders>
          </w:tcPr>
          <w:p w14:paraId="2FD79D25"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Commercio all’ingrosso e al dettaglio; riparazione di autoveicoli e motocicli</w:t>
            </w:r>
          </w:p>
        </w:tc>
      </w:tr>
      <w:tr w:rsidR="00A014B9" w:rsidRPr="00673EB2" w14:paraId="66714A35" w14:textId="77777777" w:rsidTr="00C27B86">
        <w:tc>
          <w:tcPr>
            <w:tcW w:w="933" w:type="dxa"/>
            <w:tcBorders>
              <w:top w:val="single" w:sz="4" w:space="0" w:color="auto"/>
              <w:left w:val="single" w:sz="4" w:space="0" w:color="auto"/>
              <w:bottom w:val="single" w:sz="4" w:space="0" w:color="auto"/>
              <w:right w:val="single" w:sz="4" w:space="0" w:color="auto"/>
            </w:tcBorders>
            <w:hideMark/>
          </w:tcPr>
          <w:p w14:paraId="09D2E18E"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H</w:t>
            </w:r>
          </w:p>
        </w:tc>
        <w:tc>
          <w:tcPr>
            <w:tcW w:w="2181" w:type="dxa"/>
            <w:tcBorders>
              <w:top w:val="single" w:sz="4" w:space="0" w:color="auto"/>
              <w:left w:val="single" w:sz="4" w:space="0" w:color="auto"/>
              <w:bottom w:val="single" w:sz="4" w:space="0" w:color="auto"/>
              <w:right w:val="single" w:sz="4" w:space="0" w:color="auto"/>
            </w:tcBorders>
          </w:tcPr>
          <w:p w14:paraId="7A23A9D2"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49-53</w:t>
            </w:r>
          </w:p>
        </w:tc>
        <w:tc>
          <w:tcPr>
            <w:tcW w:w="7087" w:type="dxa"/>
            <w:tcBorders>
              <w:top w:val="single" w:sz="4" w:space="0" w:color="auto"/>
              <w:left w:val="single" w:sz="4" w:space="0" w:color="auto"/>
              <w:bottom w:val="single" w:sz="4" w:space="0" w:color="auto"/>
              <w:right w:val="single" w:sz="4" w:space="0" w:color="auto"/>
            </w:tcBorders>
          </w:tcPr>
          <w:p w14:paraId="4536E80E"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Trasporto e magazzinaggio</w:t>
            </w:r>
          </w:p>
        </w:tc>
      </w:tr>
      <w:tr w:rsidR="00A014B9" w:rsidRPr="00673EB2" w14:paraId="25C66477" w14:textId="77777777" w:rsidTr="00C27B86">
        <w:tc>
          <w:tcPr>
            <w:tcW w:w="933" w:type="dxa"/>
            <w:tcBorders>
              <w:top w:val="single" w:sz="4" w:space="0" w:color="auto"/>
              <w:left w:val="single" w:sz="4" w:space="0" w:color="auto"/>
              <w:bottom w:val="single" w:sz="4" w:space="0" w:color="auto"/>
              <w:right w:val="single" w:sz="4" w:space="0" w:color="auto"/>
            </w:tcBorders>
            <w:hideMark/>
          </w:tcPr>
          <w:p w14:paraId="2338CD64"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I</w:t>
            </w:r>
          </w:p>
        </w:tc>
        <w:tc>
          <w:tcPr>
            <w:tcW w:w="2181" w:type="dxa"/>
            <w:tcBorders>
              <w:top w:val="single" w:sz="4" w:space="0" w:color="auto"/>
              <w:left w:val="single" w:sz="4" w:space="0" w:color="auto"/>
              <w:bottom w:val="single" w:sz="4" w:space="0" w:color="auto"/>
              <w:right w:val="single" w:sz="4" w:space="0" w:color="auto"/>
            </w:tcBorders>
          </w:tcPr>
          <w:p w14:paraId="552C2BA6"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55-56</w:t>
            </w:r>
          </w:p>
        </w:tc>
        <w:tc>
          <w:tcPr>
            <w:tcW w:w="7087" w:type="dxa"/>
            <w:tcBorders>
              <w:top w:val="single" w:sz="4" w:space="0" w:color="auto"/>
              <w:left w:val="single" w:sz="4" w:space="0" w:color="auto"/>
              <w:bottom w:val="single" w:sz="4" w:space="0" w:color="auto"/>
              <w:right w:val="single" w:sz="4" w:space="0" w:color="auto"/>
            </w:tcBorders>
          </w:tcPr>
          <w:p w14:paraId="1A937399"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Servizi di alloggio e di ristorazione</w:t>
            </w:r>
          </w:p>
        </w:tc>
      </w:tr>
      <w:tr w:rsidR="00A014B9" w:rsidRPr="00673EB2" w14:paraId="7E64EA3B" w14:textId="77777777" w:rsidTr="00C27B86">
        <w:tc>
          <w:tcPr>
            <w:tcW w:w="933" w:type="dxa"/>
            <w:tcBorders>
              <w:top w:val="single" w:sz="4" w:space="0" w:color="auto"/>
              <w:left w:val="single" w:sz="4" w:space="0" w:color="auto"/>
              <w:bottom w:val="single" w:sz="4" w:space="0" w:color="auto"/>
              <w:right w:val="single" w:sz="4" w:space="0" w:color="auto"/>
            </w:tcBorders>
            <w:hideMark/>
          </w:tcPr>
          <w:p w14:paraId="4708DF54"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J</w:t>
            </w:r>
          </w:p>
        </w:tc>
        <w:tc>
          <w:tcPr>
            <w:tcW w:w="2181" w:type="dxa"/>
            <w:tcBorders>
              <w:top w:val="single" w:sz="4" w:space="0" w:color="auto"/>
              <w:left w:val="single" w:sz="4" w:space="0" w:color="auto"/>
              <w:bottom w:val="single" w:sz="4" w:space="0" w:color="auto"/>
              <w:right w:val="single" w:sz="4" w:space="0" w:color="auto"/>
            </w:tcBorders>
          </w:tcPr>
          <w:p w14:paraId="3A6C78E6"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58-63</w:t>
            </w:r>
          </w:p>
        </w:tc>
        <w:tc>
          <w:tcPr>
            <w:tcW w:w="7087" w:type="dxa"/>
            <w:tcBorders>
              <w:top w:val="single" w:sz="4" w:space="0" w:color="auto"/>
              <w:left w:val="single" w:sz="4" w:space="0" w:color="auto"/>
              <w:bottom w:val="single" w:sz="4" w:space="0" w:color="auto"/>
              <w:right w:val="single" w:sz="4" w:space="0" w:color="auto"/>
            </w:tcBorders>
          </w:tcPr>
          <w:p w14:paraId="6E66F228"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Servizi di informazione e comunicazione</w:t>
            </w:r>
          </w:p>
        </w:tc>
      </w:tr>
      <w:tr w:rsidR="00A014B9" w:rsidRPr="00673EB2" w14:paraId="75FD8D27" w14:textId="77777777" w:rsidTr="00C27B86">
        <w:tc>
          <w:tcPr>
            <w:tcW w:w="933" w:type="dxa"/>
            <w:tcBorders>
              <w:top w:val="single" w:sz="4" w:space="0" w:color="auto"/>
              <w:left w:val="single" w:sz="4" w:space="0" w:color="auto"/>
              <w:bottom w:val="single" w:sz="4" w:space="0" w:color="auto"/>
              <w:right w:val="single" w:sz="4" w:space="0" w:color="auto"/>
            </w:tcBorders>
            <w:hideMark/>
          </w:tcPr>
          <w:p w14:paraId="007AC376"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K</w:t>
            </w:r>
          </w:p>
        </w:tc>
        <w:tc>
          <w:tcPr>
            <w:tcW w:w="2181" w:type="dxa"/>
            <w:tcBorders>
              <w:top w:val="single" w:sz="4" w:space="0" w:color="auto"/>
              <w:left w:val="single" w:sz="4" w:space="0" w:color="auto"/>
              <w:bottom w:val="single" w:sz="4" w:space="0" w:color="auto"/>
              <w:right w:val="single" w:sz="4" w:space="0" w:color="auto"/>
            </w:tcBorders>
          </w:tcPr>
          <w:p w14:paraId="00A93A3F"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64-66</w:t>
            </w:r>
          </w:p>
        </w:tc>
        <w:tc>
          <w:tcPr>
            <w:tcW w:w="7087" w:type="dxa"/>
            <w:tcBorders>
              <w:top w:val="single" w:sz="4" w:space="0" w:color="auto"/>
              <w:left w:val="single" w:sz="4" w:space="0" w:color="auto"/>
              <w:bottom w:val="single" w:sz="4" w:space="0" w:color="auto"/>
              <w:right w:val="single" w:sz="4" w:space="0" w:color="auto"/>
            </w:tcBorders>
          </w:tcPr>
          <w:p w14:paraId="772C3516"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Attività finanziarie e assicurative</w:t>
            </w:r>
          </w:p>
        </w:tc>
      </w:tr>
      <w:tr w:rsidR="00A014B9" w:rsidRPr="00673EB2" w14:paraId="1F7BAA94" w14:textId="77777777" w:rsidTr="00C27B86">
        <w:tc>
          <w:tcPr>
            <w:tcW w:w="933" w:type="dxa"/>
            <w:tcBorders>
              <w:top w:val="single" w:sz="4" w:space="0" w:color="auto"/>
              <w:left w:val="single" w:sz="4" w:space="0" w:color="auto"/>
              <w:bottom w:val="single" w:sz="4" w:space="0" w:color="auto"/>
              <w:right w:val="single" w:sz="4" w:space="0" w:color="auto"/>
            </w:tcBorders>
            <w:hideMark/>
          </w:tcPr>
          <w:p w14:paraId="1B1D01F0"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L</w:t>
            </w:r>
          </w:p>
        </w:tc>
        <w:tc>
          <w:tcPr>
            <w:tcW w:w="2181" w:type="dxa"/>
            <w:tcBorders>
              <w:top w:val="single" w:sz="4" w:space="0" w:color="auto"/>
              <w:left w:val="single" w:sz="4" w:space="0" w:color="auto"/>
              <w:bottom w:val="single" w:sz="4" w:space="0" w:color="auto"/>
              <w:right w:val="single" w:sz="4" w:space="0" w:color="auto"/>
            </w:tcBorders>
          </w:tcPr>
          <w:p w14:paraId="42E015E6"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68</w:t>
            </w:r>
          </w:p>
        </w:tc>
        <w:tc>
          <w:tcPr>
            <w:tcW w:w="7087" w:type="dxa"/>
            <w:tcBorders>
              <w:top w:val="single" w:sz="4" w:space="0" w:color="auto"/>
              <w:left w:val="single" w:sz="4" w:space="0" w:color="auto"/>
              <w:bottom w:val="single" w:sz="4" w:space="0" w:color="auto"/>
              <w:right w:val="single" w:sz="4" w:space="0" w:color="auto"/>
            </w:tcBorders>
          </w:tcPr>
          <w:p w14:paraId="29B4FDDC"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Attività immobiliari</w:t>
            </w:r>
          </w:p>
        </w:tc>
      </w:tr>
      <w:tr w:rsidR="00A014B9" w:rsidRPr="00673EB2" w14:paraId="06A68533" w14:textId="77777777" w:rsidTr="00C27B86">
        <w:tc>
          <w:tcPr>
            <w:tcW w:w="933" w:type="dxa"/>
            <w:tcBorders>
              <w:top w:val="single" w:sz="4" w:space="0" w:color="auto"/>
              <w:left w:val="single" w:sz="4" w:space="0" w:color="auto"/>
              <w:bottom w:val="single" w:sz="4" w:space="0" w:color="auto"/>
              <w:right w:val="single" w:sz="4" w:space="0" w:color="auto"/>
            </w:tcBorders>
            <w:hideMark/>
          </w:tcPr>
          <w:p w14:paraId="664BB872"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M</w:t>
            </w:r>
          </w:p>
        </w:tc>
        <w:tc>
          <w:tcPr>
            <w:tcW w:w="2181" w:type="dxa"/>
            <w:tcBorders>
              <w:top w:val="single" w:sz="4" w:space="0" w:color="auto"/>
              <w:left w:val="single" w:sz="4" w:space="0" w:color="auto"/>
              <w:bottom w:val="single" w:sz="4" w:space="0" w:color="auto"/>
              <w:right w:val="single" w:sz="4" w:space="0" w:color="auto"/>
            </w:tcBorders>
          </w:tcPr>
          <w:p w14:paraId="01EFCE9A"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69-75</w:t>
            </w:r>
          </w:p>
        </w:tc>
        <w:tc>
          <w:tcPr>
            <w:tcW w:w="7087" w:type="dxa"/>
            <w:tcBorders>
              <w:top w:val="single" w:sz="4" w:space="0" w:color="auto"/>
              <w:left w:val="single" w:sz="4" w:space="0" w:color="auto"/>
              <w:bottom w:val="single" w:sz="4" w:space="0" w:color="auto"/>
              <w:right w:val="single" w:sz="4" w:space="0" w:color="auto"/>
            </w:tcBorders>
          </w:tcPr>
          <w:p w14:paraId="67D58D9C"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Attività professionali, scientifiche e tecniche</w:t>
            </w:r>
          </w:p>
        </w:tc>
      </w:tr>
      <w:tr w:rsidR="00A014B9" w:rsidRPr="00673EB2" w14:paraId="115D0AFC" w14:textId="77777777" w:rsidTr="00C27B86">
        <w:tc>
          <w:tcPr>
            <w:tcW w:w="933" w:type="dxa"/>
            <w:tcBorders>
              <w:top w:val="single" w:sz="4" w:space="0" w:color="auto"/>
              <w:left w:val="single" w:sz="4" w:space="0" w:color="auto"/>
              <w:bottom w:val="single" w:sz="4" w:space="0" w:color="auto"/>
              <w:right w:val="single" w:sz="4" w:space="0" w:color="auto"/>
            </w:tcBorders>
            <w:hideMark/>
          </w:tcPr>
          <w:p w14:paraId="3D50B2BF"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N</w:t>
            </w:r>
          </w:p>
        </w:tc>
        <w:tc>
          <w:tcPr>
            <w:tcW w:w="2181" w:type="dxa"/>
            <w:tcBorders>
              <w:top w:val="single" w:sz="4" w:space="0" w:color="auto"/>
              <w:left w:val="single" w:sz="4" w:space="0" w:color="auto"/>
              <w:bottom w:val="single" w:sz="4" w:space="0" w:color="auto"/>
              <w:right w:val="single" w:sz="4" w:space="0" w:color="auto"/>
            </w:tcBorders>
          </w:tcPr>
          <w:p w14:paraId="5BE60C39"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77-82</w:t>
            </w:r>
          </w:p>
        </w:tc>
        <w:tc>
          <w:tcPr>
            <w:tcW w:w="7087" w:type="dxa"/>
            <w:tcBorders>
              <w:top w:val="single" w:sz="4" w:space="0" w:color="auto"/>
              <w:left w:val="single" w:sz="4" w:space="0" w:color="auto"/>
              <w:bottom w:val="single" w:sz="4" w:space="0" w:color="auto"/>
              <w:right w:val="single" w:sz="4" w:space="0" w:color="auto"/>
            </w:tcBorders>
          </w:tcPr>
          <w:p w14:paraId="236FC172"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Attività amministrative e di servizi di supporto</w:t>
            </w:r>
          </w:p>
        </w:tc>
      </w:tr>
      <w:tr w:rsidR="00A014B9" w:rsidRPr="00673EB2" w14:paraId="0D2B297F" w14:textId="77777777" w:rsidTr="00C27B86">
        <w:tc>
          <w:tcPr>
            <w:tcW w:w="933" w:type="dxa"/>
            <w:tcBorders>
              <w:top w:val="single" w:sz="4" w:space="0" w:color="auto"/>
              <w:left w:val="single" w:sz="4" w:space="0" w:color="auto"/>
              <w:bottom w:val="single" w:sz="4" w:space="0" w:color="auto"/>
              <w:right w:val="single" w:sz="4" w:space="0" w:color="auto"/>
            </w:tcBorders>
            <w:hideMark/>
          </w:tcPr>
          <w:p w14:paraId="397B0D7C"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O</w:t>
            </w:r>
          </w:p>
        </w:tc>
        <w:tc>
          <w:tcPr>
            <w:tcW w:w="2181" w:type="dxa"/>
            <w:tcBorders>
              <w:top w:val="single" w:sz="4" w:space="0" w:color="auto"/>
              <w:left w:val="single" w:sz="4" w:space="0" w:color="auto"/>
              <w:bottom w:val="single" w:sz="4" w:space="0" w:color="auto"/>
              <w:right w:val="single" w:sz="4" w:space="0" w:color="auto"/>
            </w:tcBorders>
          </w:tcPr>
          <w:p w14:paraId="40C120C5"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84</w:t>
            </w:r>
          </w:p>
        </w:tc>
        <w:tc>
          <w:tcPr>
            <w:tcW w:w="7087" w:type="dxa"/>
            <w:tcBorders>
              <w:top w:val="single" w:sz="4" w:space="0" w:color="auto"/>
              <w:left w:val="single" w:sz="4" w:space="0" w:color="auto"/>
              <w:bottom w:val="single" w:sz="4" w:space="0" w:color="auto"/>
              <w:right w:val="single" w:sz="4" w:space="0" w:color="auto"/>
            </w:tcBorders>
          </w:tcPr>
          <w:p w14:paraId="4C12ED6C"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Amministrazione pubblica e difesa; assicurazione sociale obbligatoria</w:t>
            </w:r>
          </w:p>
        </w:tc>
      </w:tr>
      <w:tr w:rsidR="00A014B9" w:rsidRPr="00673EB2" w14:paraId="5F540ED0" w14:textId="77777777" w:rsidTr="00C27B86">
        <w:tc>
          <w:tcPr>
            <w:tcW w:w="933" w:type="dxa"/>
            <w:tcBorders>
              <w:top w:val="single" w:sz="4" w:space="0" w:color="auto"/>
              <w:left w:val="single" w:sz="4" w:space="0" w:color="auto"/>
              <w:bottom w:val="single" w:sz="4" w:space="0" w:color="auto"/>
              <w:right w:val="single" w:sz="4" w:space="0" w:color="auto"/>
            </w:tcBorders>
            <w:hideMark/>
          </w:tcPr>
          <w:p w14:paraId="4BE397C5"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P</w:t>
            </w:r>
          </w:p>
        </w:tc>
        <w:tc>
          <w:tcPr>
            <w:tcW w:w="2181" w:type="dxa"/>
            <w:tcBorders>
              <w:top w:val="single" w:sz="4" w:space="0" w:color="auto"/>
              <w:left w:val="single" w:sz="4" w:space="0" w:color="auto"/>
              <w:bottom w:val="single" w:sz="4" w:space="0" w:color="auto"/>
              <w:right w:val="single" w:sz="4" w:space="0" w:color="auto"/>
            </w:tcBorders>
          </w:tcPr>
          <w:p w14:paraId="754247F7"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85</w:t>
            </w:r>
          </w:p>
        </w:tc>
        <w:tc>
          <w:tcPr>
            <w:tcW w:w="7087" w:type="dxa"/>
            <w:tcBorders>
              <w:top w:val="single" w:sz="4" w:space="0" w:color="auto"/>
              <w:left w:val="single" w:sz="4" w:space="0" w:color="auto"/>
              <w:bottom w:val="single" w:sz="4" w:space="0" w:color="auto"/>
              <w:right w:val="single" w:sz="4" w:space="0" w:color="auto"/>
            </w:tcBorders>
          </w:tcPr>
          <w:p w14:paraId="0ACFC20C"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Istruzione</w:t>
            </w:r>
          </w:p>
        </w:tc>
      </w:tr>
      <w:tr w:rsidR="00A014B9" w:rsidRPr="00673EB2" w14:paraId="3313EFBB" w14:textId="77777777" w:rsidTr="00C27B86">
        <w:tc>
          <w:tcPr>
            <w:tcW w:w="933" w:type="dxa"/>
            <w:tcBorders>
              <w:top w:val="single" w:sz="4" w:space="0" w:color="auto"/>
              <w:left w:val="single" w:sz="4" w:space="0" w:color="auto"/>
              <w:bottom w:val="single" w:sz="4" w:space="0" w:color="auto"/>
              <w:right w:val="single" w:sz="4" w:space="0" w:color="auto"/>
            </w:tcBorders>
            <w:hideMark/>
          </w:tcPr>
          <w:p w14:paraId="36C93434"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Q</w:t>
            </w:r>
          </w:p>
        </w:tc>
        <w:tc>
          <w:tcPr>
            <w:tcW w:w="2181" w:type="dxa"/>
            <w:tcBorders>
              <w:top w:val="single" w:sz="4" w:space="0" w:color="auto"/>
              <w:left w:val="single" w:sz="4" w:space="0" w:color="auto"/>
              <w:bottom w:val="single" w:sz="4" w:space="0" w:color="auto"/>
              <w:right w:val="single" w:sz="4" w:space="0" w:color="auto"/>
            </w:tcBorders>
          </w:tcPr>
          <w:p w14:paraId="5FE48548"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86-88</w:t>
            </w:r>
          </w:p>
        </w:tc>
        <w:tc>
          <w:tcPr>
            <w:tcW w:w="7087" w:type="dxa"/>
            <w:tcBorders>
              <w:top w:val="single" w:sz="4" w:space="0" w:color="auto"/>
              <w:left w:val="single" w:sz="4" w:space="0" w:color="auto"/>
              <w:bottom w:val="single" w:sz="4" w:space="0" w:color="auto"/>
              <w:right w:val="single" w:sz="4" w:space="0" w:color="auto"/>
            </w:tcBorders>
          </w:tcPr>
          <w:p w14:paraId="5CDA058E"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Sanità e assistenza sociale</w:t>
            </w:r>
          </w:p>
        </w:tc>
      </w:tr>
      <w:tr w:rsidR="00A014B9" w:rsidRPr="00673EB2" w14:paraId="27A8CB67" w14:textId="77777777" w:rsidTr="00C27B86">
        <w:tc>
          <w:tcPr>
            <w:tcW w:w="933" w:type="dxa"/>
            <w:tcBorders>
              <w:top w:val="single" w:sz="4" w:space="0" w:color="auto"/>
              <w:left w:val="single" w:sz="4" w:space="0" w:color="auto"/>
              <w:bottom w:val="single" w:sz="4" w:space="0" w:color="auto"/>
              <w:right w:val="single" w:sz="4" w:space="0" w:color="auto"/>
            </w:tcBorders>
            <w:hideMark/>
          </w:tcPr>
          <w:p w14:paraId="1EE095ED"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R</w:t>
            </w:r>
          </w:p>
        </w:tc>
        <w:tc>
          <w:tcPr>
            <w:tcW w:w="2181" w:type="dxa"/>
            <w:tcBorders>
              <w:top w:val="single" w:sz="4" w:space="0" w:color="auto"/>
              <w:left w:val="single" w:sz="4" w:space="0" w:color="auto"/>
              <w:bottom w:val="single" w:sz="4" w:space="0" w:color="auto"/>
              <w:right w:val="single" w:sz="4" w:space="0" w:color="auto"/>
            </w:tcBorders>
          </w:tcPr>
          <w:p w14:paraId="28E47965"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90-93</w:t>
            </w:r>
          </w:p>
        </w:tc>
        <w:tc>
          <w:tcPr>
            <w:tcW w:w="7087" w:type="dxa"/>
            <w:tcBorders>
              <w:top w:val="single" w:sz="4" w:space="0" w:color="auto"/>
              <w:left w:val="single" w:sz="4" w:space="0" w:color="auto"/>
              <w:bottom w:val="single" w:sz="4" w:space="0" w:color="auto"/>
              <w:right w:val="single" w:sz="4" w:space="0" w:color="auto"/>
            </w:tcBorders>
          </w:tcPr>
          <w:p w14:paraId="6011D86E"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Attività artistiche, di intrattenimento e divertimento</w:t>
            </w:r>
          </w:p>
        </w:tc>
      </w:tr>
      <w:tr w:rsidR="00A014B9" w:rsidRPr="00673EB2" w14:paraId="6FF6E240" w14:textId="77777777" w:rsidTr="00C27B86">
        <w:tc>
          <w:tcPr>
            <w:tcW w:w="933" w:type="dxa"/>
            <w:tcBorders>
              <w:top w:val="single" w:sz="4" w:space="0" w:color="auto"/>
              <w:left w:val="single" w:sz="4" w:space="0" w:color="auto"/>
              <w:bottom w:val="single" w:sz="4" w:space="0" w:color="auto"/>
              <w:right w:val="single" w:sz="4" w:space="0" w:color="auto"/>
            </w:tcBorders>
            <w:hideMark/>
          </w:tcPr>
          <w:p w14:paraId="11900749"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S</w:t>
            </w:r>
          </w:p>
        </w:tc>
        <w:tc>
          <w:tcPr>
            <w:tcW w:w="2181" w:type="dxa"/>
            <w:tcBorders>
              <w:top w:val="single" w:sz="4" w:space="0" w:color="auto"/>
              <w:left w:val="single" w:sz="4" w:space="0" w:color="auto"/>
              <w:bottom w:val="single" w:sz="4" w:space="0" w:color="auto"/>
              <w:right w:val="single" w:sz="4" w:space="0" w:color="auto"/>
            </w:tcBorders>
          </w:tcPr>
          <w:p w14:paraId="5D743F54"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94-96</w:t>
            </w:r>
          </w:p>
        </w:tc>
        <w:tc>
          <w:tcPr>
            <w:tcW w:w="7087" w:type="dxa"/>
            <w:tcBorders>
              <w:top w:val="single" w:sz="4" w:space="0" w:color="auto"/>
              <w:left w:val="single" w:sz="4" w:space="0" w:color="auto"/>
              <w:bottom w:val="single" w:sz="4" w:space="0" w:color="auto"/>
              <w:right w:val="single" w:sz="4" w:space="0" w:color="auto"/>
            </w:tcBorders>
          </w:tcPr>
          <w:p w14:paraId="4FAE621D"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Altre attività di servizi</w:t>
            </w:r>
          </w:p>
        </w:tc>
      </w:tr>
      <w:tr w:rsidR="00A014B9" w:rsidRPr="00673EB2" w14:paraId="7D112478" w14:textId="77777777" w:rsidTr="00C27B86">
        <w:tc>
          <w:tcPr>
            <w:tcW w:w="933" w:type="dxa"/>
            <w:tcBorders>
              <w:top w:val="single" w:sz="4" w:space="0" w:color="auto"/>
              <w:left w:val="single" w:sz="4" w:space="0" w:color="auto"/>
              <w:bottom w:val="single" w:sz="4" w:space="0" w:color="auto"/>
              <w:right w:val="single" w:sz="4" w:space="0" w:color="auto"/>
            </w:tcBorders>
            <w:hideMark/>
          </w:tcPr>
          <w:p w14:paraId="6D52AAC8"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T</w:t>
            </w:r>
          </w:p>
        </w:tc>
        <w:tc>
          <w:tcPr>
            <w:tcW w:w="2181" w:type="dxa"/>
            <w:tcBorders>
              <w:top w:val="single" w:sz="4" w:space="0" w:color="auto"/>
              <w:left w:val="single" w:sz="4" w:space="0" w:color="auto"/>
              <w:bottom w:val="single" w:sz="4" w:space="0" w:color="auto"/>
              <w:right w:val="single" w:sz="4" w:space="0" w:color="auto"/>
            </w:tcBorders>
          </w:tcPr>
          <w:p w14:paraId="176EAC7A"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97-98</w:t>
            </w:r>
          </w:p>
        </w:tc>
        <w:tc>
          <w:tcPr>
            <w:tcW w:w="7087" w:type="dxa"/>
            <w:tcBorders>
              <w:top w:val="single" w:sz="4" w:space="0" w:color="auto"/>
              <w:left w:val="single" w:sz="4" w:space="0" w:color="auto"/>
              <w:bottom w:val="single" w:sz="4" w:space="0" w:color="auto"/>
              <w:right w:val="single" w:sz="4" w:space="0" w:color="auto"/>
            </w:tcBorders>
          </w:tcPr>
          <w:p w14:paraId="0BDB7481"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Attività di famiglie e convivenze come datori di lavoro per personale domestico; produzione di beni e servizi indifferenziati per uso proprio da parte di famiglie e convivenze</w:t>
            </w:r>
          </w:p>
        </w:tc>
      </w:tr>
      <w:tr w:rsidR="00A014B9" w:rsidRPr="00673EB2" w14:paraId="38DE96DF" w14:textId="77777777" w:rsidTr="00C27B86">
        <w:tc>
          <w:tcPr>
            <w:tcW w:w="933" w:type="dxa"/>
            <w:tcBorders>
              <w:top w:val="single" w:sz="4" w:space="0" w:color="auto"/>
              <w:left w:val="single" w:sz="4" w:space="0" w:color="auto"/>
              <w:bottom w:val="single" w:sz="4" w:space="0" w:color="auto"/>
              <w:right w:val="single" w:sz="4" w:space="0" w:color="auto"/>
            </w:tcBorders>
            <w:hideMark/>
          </w:tcPr>
          <w:p w14:paraId="15B104DC"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U</w:t>
            </w:r>
          </w:p>
        </w:tc>
        <w:tc>
          <w:tcPr>
            <w:tcW w:w="2181" w:type="dxa"/>
            <w:tcBorders>
              <w:top w:val="single" w:sz="4" w:space="0" w:color="auto"/>
              <w:left w:val="single" w:sz="4" w:space="0" w:color="auto"/>
              <w:bottom w:val="single" w:sz="4" w:space="0" w:color="auto"/>
              <w:right w:val="single" w:sz="4" w:space="0" w:color="auto"/>
            </w:tcBorders>
          </w:tcPr>
          <w:p w14:paraId="431429BD"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99</w:t>
            </w:r>
          </w:p>
        </w:tc>
        <w:tc>
          <w:tcPr>
            <w:tcW w:w="7087" w:type="dxa"/>
            <w:tcBorders>
              <w:top w:val="single" w:sz="4" w:space="0" w:color="auto"/>
              <w:left w:val="single" w:sz="4" w:space="0" w:color="auto"/>
              <w:bottom w:val="single" w:sz="4" w:space="0" w:color="auto"/>
              <w:right w:val="single" w:sz="4" w:space="0" w:color="auto"/>
            </w:tcBorders>
          </w:tcPr>
          <w:p w14:paraId="77920BE0"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Attività di organizzazioni e organismi extraterritoriali</w:t>
            </w:r>
          </w:p>
        </w:tc>
      </w:tr>
    </w:tbl>
    <w:p w14:paraId="4E4EC4A6" w14:textId="77777777" w:rsidR="00A014B9" w:rsidRPr="00CE7D0F" w:rsidRDefault="00A014B9" w:rsidP="00A014B9">
      <w:pPr>
        <w:rPr>
          <w:rFonts w:ascii="Arial Narrow" w:eastAsia="Calibri" w:hAnsi="Arial Narrow"/>
          <w:sz w:val="18"/>
          <w:szCs w:val="18"/>
        </w:rPr>
      </w:pPr>
    </w:p>
    <w:p w14:paraId="3EDAF3C4" w14:textId="77777777" w:rsidR="00A014B9" w:rsidRPr="00CE7D0F" w:rsidRDefault="00A014B9" w:rsidP="00A014B9">
      <w:pPr>
        <w:rPr>
          <w:rFonts w:ascii="Arial Narrow" w:hAnsi="Arial Narrow"/>
          <w:sz w:val="18"/>
          <w:szCs w:val="18"/>
        </w:rPr>
      </w:pPr>
    </w:p>
    <w:bookmarkEnd w:id="2"/>
    <w:p w14:paraId="380637F7" w14:textId="77777777" w:rsidR="006B6070" w:rsidRPr="00CE7D0F" w:rsidRDefault="006B6070" w:rsidP="0097639E">
      <w:pPr>
        <w:spacing w:after="120"/>
        <w:outlineLvl w:val="2"/>
        <w:rPr>
          <w:rFonts w:ascii="Arial Narrow" w:hAnsi="Arial Narrow" w:cs="Arial"/>
          <w:bCs/>
          <w:color w:val="1F497D"/>
          <w:sz w:val="18"/>
          <w:szCs w:val="18"/>
        </w:rPr>
      </w:pPr>
    </w:p>
    <w:p w14:paraId="22F2E096" w14:textId="1B048CB3" w:rsidR="00704C87" w:rsidRDefault="00704C87" w:rsidP="0097639E">
      <w:pPr>
        <w:spacing w:after="120"/>
        <w:outlineLvl w:val="2"/>
        <w:rPr>
          <w:rFonts w:ascii="Georgia" w:hAnsi="Georgia" w:cs="Arial"/>
          <w:bCs/>
          <w:color w:val="1F497D"/>
          <w:sz w:val="48"/>
          <w:szCs w:val="48"/>
        </w:rPr>
      </w:pPr>
      <w:r w:rsidRPr="007C55CD">
        <w:rPr>
          <w:rFonts w:ascii="Georgia" w:hAnsi="Georgia" w:cs="Arial"/>
          <w:bCs/>
          <w:color w:val="1F497D"/>
          <w:sz w:val="48"/>
          <w:szCs w:val="48"/>
        </w:rPr>
        <w:t xml:space="preserve">Per chiarimenti tecnici </w:t>
      </w:r>
    </w:p>
    <w:p w14:paraId="18967EAE" w14:textId="77777777" w:rsidR="00571F65" w:rsidRDefault="00571F65" w:rsidP="0097639E">
      <w:pPr>
        <w:spacing w:after="120"/>
        <w:outlineLvl w:val="2"/>
        <w:rPr>
          <w:rFonts w:ascii="Georgia" w:hAnsi="Georgia" w:cs="Arial"/>
          <w:bCs/>
          <w:color w:val="1F497D"/>
          <w:sz w:val="48"/>
          <w:szCs w:val="48"/>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7E6DFA" w14:paraId="74E5C271" w14:textId="77777777" w:rsidTr="007E6DFA">
        <w:tc>
          <w:tcPr>
            <w:tcW w:w="4956" w:type="dxa"/>
          </w:tcPr>
          <w:p w14:paraId="6DF97461" w14:textId="77777777" w:rsidR="007E6DFA" w:rsidRPr="007E6DFA" w:rsidRDefault="007E6DFA" w:rsidP="007E6DFA">
            <w:pPr>
              <w:outlineLvl w:val="2"/>
              <w:rPr>
                <w:rFonts w:ascii="Arial" w:hAnsi="Arial" w:cs="Arial"/>
                <w:b/>
                <w:color w:val="1F497D"/>
                <w:sz w:val="22"/>
                <w:szCs w:val="22"/>
              </w:rPr>
            </w:pPr>
            <w:r w:rsidRPr="007E6DFA">
              <w:rPr>
                <w:rFonts w:ascii="Arial" w:hAnsi="Arial" w:cs="Arial"/>
                <w:b/>
                <w:color w:val="1F497D"/>
                <w:sz w:val="22"/>
                <w:szCs w:val="22"/>
              </w:rPr>
              <w:t>Aldo Femia</w:t>
            </w:r>
          </w:p>
          <w:p w14:paraId="1AF4EF0E" w14:textId="5A40408E" w:rsidR="007E6DFA" w:rsidRDefault="00B7452B" w:rsidP="007E6DFA">
            <w:pPr>
              <w:outlineLvl w:val="2"/>
              <w:rPr>
                <w:rFonts w:ascii="Georgia" w:hAnsi="Georgia" w:cs="Arial"/>
                <w:bCs/>
                <w:color w:val="1F497D"/>
                <w:sz w:val="48"/>
                <w:szCs w:val="48"/>
              </w:rPr>
            </w:pPr>
            <w:hyperlink r:id="rId27" w:history="1">
              <w:r w:rsidR="007E6DFA" w:rsidRPr="007E6DFA">
                <w:rPr>
                  <w:rStyle w:val="Collegamentoipertestuale"/>
                  <w:rFonts w:ascii="Arial" w:hAnsi="Arial" w:cs="Arial"/>
                  <w:color w:val="1F497D"/>
                  <w:sz w:val="22"/>
                  <w:szCs w:val="22"/>
                </w:rPr>
                <w:t>femia@istat.it</w:t>
              </w:r>
            </w:hyperlink>
          </w:p>
        </w:tc>
        <w:tc>
          <w:tcPr>
            <w:tcW w:w="4956" w:type="dxa"/>
          </w:tcPr>
          <w:p w14:paraId="242BEC85" w14:textId="77777777" w:rsidR="007E6DFA" w:rsidRPr="007E6DFA" w:rsidRDefault="007E6DFA" w:rsidP="007E6DFA">
            <w:pPr>
              <w:outlineLvl w:val="2"/>
              <w:rPr>
                <w:rFonts w:ascii="Arial" w:hAnsi="Arial" w:cs="Arial"/>
                <w:b/>
                <w:color w:val="1F497D"/>
                <w:sz w:val="22"/>
                <w:szCs w:val="22"/>
              </w:rPr>
            </w:pPr>
            <w:r w:rsidRPr="007E6DFA">
              <w:rPr>
                <w:rFonts w:ascii="Arial" w:hAnsi="Arial" w:cs="Arial"/>
                <w:b/>
                <w:color w:val="1F497D"/>
                <w:sz w:val="22"/>
                <w:szCs w:val="22"/>
              </w:rPr>
              <w:t>Angelica Tudini</w:t>
            </w:r>
          </w:p>
          <w:p w14:paraId="4183B5E4" w14:textId="43E0DA85" w:rsidR="007E6DFA" w:rsidRDefault="00B7452B" w:rsidP="007E6DFA">
            <w:pPr>
              <w:outlineLvl w:val="2"/>
              <w:rPr>
                <w:rFonts w:ascii="Georgia" w:hAnsi="Georgia" w:cs="Arial"/>
                <w:bCs/>
                <w:color w:val="1F497D"/>
                <w:sz w:val="48"/>
                <w:szCs w:val="48"/>
              </w:rPr>
            </w:pPr>
            <w:hyperlink r:id="rId28" w:history="1">
              <w:r w:rsidR="007E6DFA" w:rsidRPr="007E6DFA">
                <w:rPr>
                  <w:rStyle w:val="Collegamentoipertestuale"/>
                  <w:rFonts w:ascii="Arial" w:hAnsi="Arial" w:cs="Arial"/>
                  <w:color w:val="1F497D"/>
                  <w:sz w:val="22"/>
                  <w:szCs w:val="22"/>
                </w:rPr>
                <w:t>tudini@istat.it</w:t>
              </w:r>
            </w:hyperlink>
          </w:p>
        </w:tc>
      </w:tr>
    </w:tbl>
    <w:p w14:paraId="6052814A" w14:textId="77777777" w:rsidR="007E6DFA" w:rsidRDefault="007E6DFA" w:rsidP="0097639E">
      <w:pPr>
        <w:spacing w:after="120"/>
        <w:outlineLvl w:val="2"/>
        <w:rPr>
          <w:rFonts w:ascii="Georgia" w:hAnsi="Georgia" w:cs="Arial"/>
          <w:bCs/>
          <w:color w:val="1F497D"/>
          <w:sz w:val="48"/>
          <w:szCs w:val="48"/>
        </w:rPr>
      </w:pPr>
    </w:p>
    <w:p w14:paraId="73BAF376" w14:textId="77777777" w:rsidR="00704C87" w:rsidRDefault="00704C87" w:rsidP="00704C87">
      <w:pPr>
        <w:spacing w:after="120"/>
        <w:jc w:val="both"/>
        <w:rPr>
          <w:rFonts w:ascii="Arial" w:hAnsi="Arial" w:cs="Arial"/>
          <w:sz w:val="22"/>
          <w:szCs w:val="22"/>
        </w:rPr>
      </w:pPr>
    </w:p>
    <w:p w14:paraId="21C552B0" w14:textId="77777777" w:rsidR="002C4EE0" w:rsidRPr="00F61932" w:rsidRDefault="002C4EE0" w:rsidP="00704C87">
      <w:pPr>
        <w:spacing w:after="120"/>
        <w:jc w:val="both"/>
        <w:rPr>
          <w:rFonts w:ascii="Arial" w:hAnsi="Arial" w:cs="Arial"/>
          <w:bCs/>
          <w:sz w:val="20"/>
          <w:szCs w:val="20"/>
        </w:rPr>
      </w:pPr>
    </w:p>
    <w:sectPr w:rsidR="002C4EE0" w:rsidRPr="00F61932" w:rsidSect="002261D9">
      <w:footerReference w:type="default" r:id="rId29"/>
      <w:pgSz w:w="11906" w:h="16838" w:code="9"/>
      <w:pgMar w:top="567" w:right="992" w:bottom="714" w:left="992" w:header="0" w:footer="0" w:gutter="0"/>
      <w:cols w:space="43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6DD64" w16cex:dateUtc="2022-12-16T11:04:00Z"/>
  <w16cex:commentExtensible w16cex:durableId="2746E278" w16cex:dateUtc="2022-12-16T11: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4AEB62" w16cid:durableId="2746DD64"/>
  <w16cid:commentId w16cid:paraId="035CD6AB" w16cid:durableId="2746E27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BC00E1" w14:textId="77777777" w:rsidR="00B7452B" w:rsidRDefault="00B7452B">
      <w:r>
        <w:separator/>
      </w:r>
    </w:p>
  </w:endnote>
  <w:endnote w:type="continuationSeparator" w:id="0">
    <w:p w14:paraId="3A4C1420" w14:textId="77777777" w:rsidR="00B7452B" w:rsidRDefault="00B74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23DD7" w14:textId="5E1B6AD6" w:rsidR="00B7452B" w:rsidRDefault="00B7452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76B4523" w14:textId="77777777" w:rsidR="00B7452B" w:rsidRDefault="00B7452B">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335918"/>
      <w:docPartObj>
        <w:docPartGallery w:val="Page Numbers (Bottom of Page)"/>
        <w:docPartUnique/>
      </w:docPartObj>
    </w:sdtPr>
    <w:sdtContent>
      <w:p w14:paraId="4D80C003" w14:textId="282E9351" w:rsidR="00B7452B" w:rsidRDefault="00B7452B">
        <w:pPr>
          <w:pStyle w:val="Pidipagina"/>
        </w:pPr>
        <w:r>
          <w:fldChar w:fldCharType="begin"/>
        </w:r>
        <w:r>
          <w:instrText>PAGE   \* MERGEFORMAT</w:instrText>
        </w:r>
        <w:r>
          <w:fldChar w:fldCharType="separate"/>
        </w:r>
        <w:r>
          <w:rPr>
            <w:noProof/>
          </w:rPr>
          <w:t>2</w:t>
        </w:r>
        <w:r>
          <w:fldChar w:fldCharType="end"/>
        </w:r>
      </w:p>
    </w:sdtContent>
  </w:sdt>
  <w:p w14:paraId="5F530DE7" w14:textId="77777777" w:rsidR="00B7452B" w:rsidRDefault="00B7452B" w:rsidP="00842757">
    <w:pPr>
      <w:pStyle w:val="Pidipagina"/>
      <w:tabs>
        <w:tab w:val="clear" w:pos="4819"/>
        <w:tab w:val="clear" w:pos="9638"/>
        <w:tab w:val="left" w:pos="7773"/>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08ECD" w14:textId="6F5A8521" w:rsidR="00B7452B" w:rsidRPr="00C469C4" w:rsidRDefault="00B7452B" w:rsidP="00C469C4">
    <w:pPr>
      <w:pStyle w:val="Pidipagina"/>
      <w:ind w:left="-851"/>
      <w:rPr>
        <w:sz w:val="18"/>
      </w:rPr>
    </w:pPr>
    <w:r w:rsidRPr="00613DD6">
      <w:rPr>
        <w:noProof/>
        <w:sz w:val="18"/>
      </w:rPr>
      <mc:AlternateContent>
        <mc:Choice Requires="wps">
          <w:drawing>
            <wp:anchor distT="0" distB="0" distL="114300" distR="114300" simplePos="0" relativeHeight="251702784" behindDoc="0" locked="0" layoutInCell="1" allowOverlap="1" wp14:anchorId="7EB22DFB" wp14:editId="6B7591B3">
              <wp:simplePos x="0" y="0"/>
              <wp:positionH relativeFrom="column">
                <wp:posOffset>-92710</wp:posOffset>
              </wp:positionH>
              <wp:positionV relativeFrom="paragraph">
                <wp:posOffset>598170</wp:posOffset>
              </wp:positionV>
              <wp:extent cx="3648883" cy="762000"/>
              <wp:effectExtent l="0" t="0" r="8890" b="0"/>
              <wp:wrapNone/>
              <wp:docPr id="51" name="Casella di testo 51"/>
              <wp:cNvGraphicFramePr/>
              <a:graphic xmlns:a="http://schemas.openxmlformats.org/drawingml/2006/main">
                <a:graphicData uri="http://schemas.microsoft.com/office/word/2010/wordprocessingShape">
                  <wps:wsp>
                    <wps:cNvSpPr txBox="1"/>
                    <wps:spPr>
                      <a:xfrm>
                        <a:off x="0" y="0"/>
                        <a:ext cx="3648883" cy="762000"/>
                      </a:xfrm>
                      <a:prstGeom prst="rect">
                        <a:avLst/>
                      </a:prstGeom>
                      <a:solidFill>
                        <a:schemeClr val="bg1"/>
                      </a:solidFill>
                      <a:ln w="6350">
                        <a:noFill/>
                      </a:ln>
                    </wps:spPr>
                    <wps:txbx>
                      <w:txbxContent>
                        <w:tbl>
                          <w:tblPr>
                            <w:tblStyle w:val="Grigliatabella"/>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B7452B" w:rsidRPr="00C36991" w14:paraId="25B9CDE4" w14:textId="77777777" w:rsidTr="007927AE">
                            <w:trPr>
                              <w:trHeight w:val="1195"/>
                            </w:trPr>
                            <w:tc>
                              <w:tcPr>
                                <w:tcW w:w="3544" w:type="dxa"/>
                              </w:tcPr>
                              <w:p w14:paraId="1AF6FD2C" w14:textId="77777777" w:rsidR="00B7452B" w:rsidRPr="004649F8" w:rsidRDefault="00B7452B" w:rsidP="007927AE">
                                <w:pPr>
                                  <w:rPr>
                                    <w:rFonts w:ascii="Arial Narrow" w:hAnsi="Arial Narrow"/>
                                    <w:b/>
                                    <w:bCs/>
                                    <w:color w:val="1F497D"/>
                                  </w:rPr>
                                </w:pPr>
                                <w:r w:rsidRPr="004649F8">
                                  <w:rPr>
                                    <w:rFonts w:ascii="Arial Narrow" w:hAnsi="Arial Narrow"/>
                                    <w:b/>
                                    <w:bCs/>
                                    <w:color w:val="1F497D"/>
                                  </w:rPr>
                                  <w:t>UFFICIO STAMPA</w:t>
                                </w:r>
                              </w:p>
                              <w:p w14:paraId="105B3643" w14:textId="77777777" w:rsidR="00B7452B" w:rsidRPr="004649F8" w:rsidRDefault="00B7452B" w:rsidP="007927AE">
                                <w:pPr>
                                  <w:rPr>
                                    <w:rFonts w:ascii="Arial Narrow" w:hAnsi="Arial Narrow"/>
                                    <w:color w:val="1F497D"/>
                                  </w:rPr>
                                </w:pPr>
                                <w:r w:rsidRPr="004649F8">
                                  <w:rPr>
                                    <w:rFonts w:ascii="Arial Narrow" w:hAnsi="Arial Narrow"/>
                                    <w:color w:val="1F497D"/>
                                  </w:rPr>
                                  <w:t>tel. +39 06 4673.2243/44</w:t>
                                </w:r>
                              </w:p>
                              <w:p w14:paraId="163D6170" w14:textId="77777777" w:rsidR="00B7452B" w:rsidRPr="004649F8" w:rsidRDefault="00B7452B" w:rsidP="007927AE">
                                <w:pPr>
                                  <w:rPr>
                                    <w:rFonts w:ascii="Arial Narrow" w:hAnsi="Arial Narrow"/>
                                    <w:color w:val="1F497D"/>
                                  </w:rPr>
                                </w:pPr>
                                <w:hyperlink r:id="rId1" w:history="1">
                                  <w:r w:rsidRPr="002E68C4">
                                    <w:rPr>
                                      <w:rStyle w:val="Collegamentoipertestuale"/>
                                      <w:rFonts w:ascii="Arial Narrow" w:hAnsi="Arial Narrow"/>
                                      <w:color w:val="023859"/>
                                    </w:rPr>
                                    <w:t>ufficiostampa@istat.it</w:t>
                                  </w:r>
                                </w:hyperlink>
                              </w:p>
                            </w:tc>
                            <w:tc>
                              <w:tcPr>
                                <w:tcW w:w="2126" w:type="dxa"/>
                              </w:tcPr>
                              <w:p w14:paraId="4BCFC8E6" w14:textId="61B52BA4" w:rsidR="00B7452B" w:rsidRPr="00F47D79" w:rsidRDefault="00B7452B" w:rsidP="007927AE">
                                <w:pPr>
                                  <w:rPr>
                                    <w:rFonts w:ascii="Arial Narrow" w:hAnsi="Arial Narrow" w:cs="Arial"/>
                                    <w:color w:val="1F497D"/>
                                    <w:lang w:val="en-US"/>
                                  </w:rPr>
                                </w:pPr>
                                <w:r w:rsidRPr="002E68C4">
                                  <w:rPr>
                                    <w:rFonts w:ascii="Arial Narrow" w:hAnsi="Arial Narrow"/>
                                    <w:b/>
                                    <w:bCs/>
                                    <w:color w:val="1F497D"/>
                                    <w:lang w:val="en-US"/>
                                  </w:rPr>
                                  <w:t>CONTACT CENTRE</w:t>
                                </w:r>
                                <w:r w:rsidRPr="002E68C4">
                                  <w:rPr>
                                    <w:rFonts w:ascii="Arial Narrow" w:hAnsi="Arial Narrow"/>
                                    <w:color w:val="1F497D"/>
                                    <w:lang w:val="en-US"/>
                                  </w:rPr>
                                  <w:br/>
                                </w:r>
                                <w:r w:rsidRPr="00F75555">
                                  <w:rPr>
                                    <w:rStyle w:val="Collegamentoipertestuale"/>
                                    <w:rFonts w:ascii="Arial Narrow" w:hAnsi="Arial Narrow" w:cs="Arial"/>
                                    <w:color w:val="023859"/>
                                    <w:lang w:val="en-US"/>
                                  </w:rPr>
                                  <w:t>contact.istat.it</w:t>
                                </w:r>
                              </w:p>
                              <w:p w14:paraId="7D5AF6C5" w14:textId="77777777" w:rsidR="00B7452B" w:rsidRPr="002E68C4" w:rsidRDefault="00B7452B" w:rsidP="007927AE">
                                <w:pPr>
                                  <w:rPr>
                                    <w:rFonts w:ascii="Arial Narrow" w:hAnsi="Arial Narrow"/>
                                    <w:color w:val="1F497D"/>
                                    <w:lang w:val="en-US"/>
                                  </w:rPr>
                                </w:pPr>
                              </w:p>
                            </w:tc>
                          </w:tr>
                        </w:tbl>
                        <w:p w14:paraId="641C7413" w14:textId="77777777" w:rsidR="00B7452B" w:rsidRPr="004649F8" w:rsidRDefault="00B7452B" w:rsidP="00591C61">
                          <w:pPr>
                            <w:rPr>
                              <w:rFonts w:ascii="Arial Narrow" w:hAnsi="Arial Narrow"/>
                              <w:color w:val="1F497D"/>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22DFB" id="_x0000_t202" coordsize="21600,21600" o:spt="202" path="m,l,21600r21600,l21600,xe">
              <v:stroke joinstyle="miter"/>
              <v:path gradientshapeok="t" o:connecttype="rect"/>
            </v:shapetype>
            <v:shape id="Casella di testo 51" o:spid="_x0000_s1027" type="#_x0000_t202" style="position:absolute;left:0;text-align:left;margin-left:-7.3pt;margin-top:47.1pt;width:287.3pt;height:60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" fillcolor="white [3212]" stroked="f" strokeweight=".5pt">
              <v:textbox inset="0,0,0,0">
                <w:txbxContent>
                  <w:tbl>
                    <w:tblPr>
                      <w:tblStyle w:val="Grigliatabella"/>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B7452B" w:rsidRPr="00C36991" w14:paraId="25B9CDE4" w14:textId="77777777" w:rsidTr="007927AE">
                      <w:trPr>
                        <w:trHeight w:val="1195"/>
                      </w:trPr>
                      <w:tc>
                        <w:tcPr>
                          <w:tcW w:w="3544" w:type="dxa"/>
                        </w:tcPr>
                        <w:p w14:paraId="1AF6FD2C" w14:textId="77777777" w:rsidR="00B7452B" w:rsidRPr="004649F8" w:rsidRDefault="00B7452B" w:rsidP="007927AE">
                          <w:pPr>
                            <w:rPr>
                              <w:rFonts w:ascii="Arial Narrow" w:hAnsi="Arial Narrow"/>
                              <w:b/>
                              <w:bCs/>
                              <w:color w:val="1F497D"/>
                            </w:rPr>
                          </w:pPr>
                          <w:r w:rsidRPr="004649F8">
                            <w:rPr>
                              <w:rFonts w:ascii="Arial Narrow" w:hAnsi="Arial Narrow"/>
                              <w:b/>
                              <w:bCs/>
                              <w:color w:val="1F497D"/>
                            </w:rPr>
                            <w:t>UFFICIO STAMPA</w:t>
                          </w:r>
                        </w:p>
                        <w:p w14:paraId="105B3643" w14:textId="77777777" w:rsidR="00B7452B" w:rsidRPr="004649F8" w:rsidRDefault="00B7452B" w:rsidP="007927AE">
                          <w:pPr>
                            <w:rPr>
                              <w:rFonts w:ascii="Arial Narrow" w:hAnsi="Arial Narrow"/>
                              <w:color w:val="1F497D"/>
                            </w:rPr>
                          </w:pPr>
                          <w:r w:rsidRPr="004649F8">
                            <w:rPr>
                              <w:rFonts w:ascii="Arial Narrow" w:hAnsi="Arial Narrow"/>
                              <w:color w:val="1F497D"/>
                            </w:rPr>
                            <w:t>tel. +39 06 4673.2243/44</w:t>
                          </w:r>
                        </w:p>
                        <w:p w14:paraId="163D6170" w14:textId="77777777" w:rsidR="00B7452B" w:rsidRPr="004649F8" w:rsidRDefault="00B7452B" w:rsidP="007927AE">
                          <w:pPr>
                            <w:rPr>
                              <w:rFonts w:ascii="Arial Narrow" w:hAnsi="Arial Narrow"/>
                              <w:color w:val="1F497D"/>
                            </w:rPr>
                          </w:pPr>
                          <w:hyperlink r:id="rId2" w:history="1">
                            <w:r w:rsidRPr="002E68C4">
                              <w:rPr>
                                <w:rStyle w:val="Collegamentoipertestuale"/>
                                <w:rFonts w:ascii="Arial Narrow" w:hAnsi="Arial Narrow"/>
                                <w:color w:val="023859"/>
                              </w:rPr>
                              <w:t>ufficiostampa@istat.it</w:t>
                            </w:r>
                          </w:hyperlink>
                        </w:p>
                      </w:tc>
                      <w:tc>
                        <w:tcPr>
                          <w:tcW w:w="2126" w:type="dxa"/>
                        </w:tcPr>
                        <w:p w14:paraId="4BCFC8E6" w14:textId="61B52BA4" w:rsidR="00B7452B" w:rsidRPr="00F47D79" w:rsidRDefault="00B7452B" w:rsidP="007927AE">
                          <w:pPr>
                            <w:rPr>
                              <w:rFonts w:ascii="Arial Narrow" w:hAnsi="Arial Narrow" w:cs="Arial"/>
                              <w:color w:val="1F497D"/>
                              <w:lang w:val="en-US"/>
                            </w:rPr>
                          </w:pPr>
                          <w:r w:rsidRPr="002E68C4">
                            <w:rPr>
                              <w:rFonts w:ascii="Arial Narrow" w:hAnsi="Arial Narrow"/>
                              <w:b/>
                              <w:bCs/>
                              <w:color w:val="1F497D"/>
                              <w:lang w:val="en-US"/>
                            </w:rPr>
                            <w:t>CONTACT CENTRE</w:t>
                          </w:r>
                          <w:r w:rsidRPr="002E68C4">
                            <w:rPr>
                              <w:rFonts w:ascii="Arial Narrow" w:hAnsi="Arial Narrow"/>
                              <w:color w:val="1F497D"/>
                              <w:lang w:val="en-US"/>
                            </w:rPr>
                            <w:br/>
                          </w:r>
                          <w:r w:rsidRPr="00F75555">
                            <w:rPr>
                              <w:rStyle w:val="Collegamentoipertestuale"/>
                              <w:rFonts w:ascii="Arial Narrow" w:hAnsi="Arial Narrow" w:cs="Arial"/>
                              <w:color w:val="023859"/>
                              <w:lang w:val="en-US"/>
                            </w:rPr>
                            <w:t>contact.istat.it</w:t>
                          </w:r>
                        </w:p>
                        <w:p w14:paraId="7D5AF6C5" w14:textId="77777777" w:rsidR="00B7452B" w:rsidRPr="002E68C4" w:rsidRDefault="00B7452B" w:rsidP="007927AE">
                          <w:pPr>
                            <w:rPr>
                              <w:rFonts w:ascii="Arial Narrow" w:hAnsi="Arial Narrow"/>
                              <w:color w:val="1F497D"/>
                              <w:lang w:val="en-US"/>
                            </w:rPr>
                          </w:pPr>
                        </w:p>
                      </w:tc>
                    </w:tr>
                  </w:tbl>
                  <w:p w14:paraId="641C7413" w14:textId="77777777" w:rsidR="00B7452B" w:rsidRPr="004649F8" w:rsidRDefault="00B7452B" w:rsidP="00591C61">
                    <w:pPr>
                      <w:rPr>
                        <w:rFonts w:ascii="Arial Narrow" w:hAnsi="Arial Narrow"/>
                        <w:color w:val="1F497D"/>
                        <w:lang w:val="en-US"/>
                      </w:rPr>
                    </w:pPr>
                  </w:p>
                </w:txbxContent>
              </v:textbox>
            </v:shape>
          </w:pict>
        </mc:Fallback>
      </mc:AlternateContent>
    </w:r>
    <w:r>
      <w:rPr>
        <w:noProof/>
        <w:sz w:val="18"/>
      </w:rPr>
      <w:drawing>
        <wp:inline distT="0" distB="0" distL="0" distR="0" wp14:anchorId="233B79CA" wp14:editId="3BBBEF5C">
          <wp:extent cx="7560000" cy="1645200"/>
          <wp:effectExtent l="0" t="0" r="0" b="635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estateReport_Tavola disegno 1 copia.jpg"/>
                  <pic:cNvPicPr/>
                </pic:nvPicPr>
                <pic:blipFill>
                  <a:blip r:embed="rId3"/>
                  <a:stretch>
                    <a:fillRect/>
                  </a:stretch>
                </pic:blipFill>
                <pic:spPr>
                  <a:xfrm>
                    <a:off x="0" y="0"/>
                    <a:ext cx="7560000" cy="16452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highlight w:val="lightGray"/>
      </w:rPr>
      <w:id w:val="-556555701"/>
      <w:docPartObj>
        <w:docPartGallery w:val="Page Numbers (Bottom of Page)"/>
        <w:docPartUnique/>
      </w:docPartObj>
    </w:sdtPr>
    <w:sdtContent>
      <w:p w14:paraId="55A09726" w14:textId="77777777" w:rsidR="00B7452B" w:rsidRDefault="00B7452B">
        <w:pPr>
          <w:rPr>
            <w:rFonts w:asciiTheme="majorHAnsi" w:eastAsiaTheme="majorEastAsia" w:hAnsiTheme="majorHAnsi" w:cstheme="majorBidi"/>
          </w:rPr>
        </w:pPr>
        <w:r>
          <w:rPr>
            <w:noProof/>
            <w:sz w:val="28"/>
            <w:szCs w:val="28"/>
          </w:rPr>
          <mc:AlternateContent>
            <mc:Choice Requires="wps">
              <w:drawing>
                <wp:anchor distT="4294967294" distB="4294967294" distL="114300" distR="114300" simplePos="0" relativeHeight="251700736" behindDoc="0" locked="0" layoutInCell="1" allowOverlap="1" wp14:anchorId="70F704F3" wp14:editId="4F85D6B0">
                  <wp:simplePos x="0" y="0"/>
                  <wp:positionH relativeFrom="column">
                    <wp:posOffset>-10160</wp:posOffset>
                  </wp:positionH>
                  <wp:positionV relativeFrom="paragraph">
                    <wp:posOffset>-2532381</wp:posOffset>
                  </wp:positionV>
                  <wp:extent cx="6299835" cy="0"/>
                  <wp:effectExtent l="0" t="0" r="24765" b="19050"/>
                  <wp:wrapNone/>
                  <wp:docPr id="18"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noFill/>
                          <a:ln w="15875" cap="flat" cmpd="sng" algn="ctr">
                            <a:solidFill>
                              <a:sysClr val="window" lastClr="FFFFFF"/>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2355367" id="Connettore 1 12" o:spid="_x0000_s1026" style="position:absolute;z-index:251700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pt,-199.4pt" to="495.25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" strokecolor="window" strokeweight="1.25pt">
                  <o:lock v:ext="edit" shapetype="f"/>
                </v:line>
              </w:pict>
            </mc:Fallback>
          </mc:AlternateContent>
        </w:r>
        <w:r>
          <w:rPr>
            <w:noProof/>
            <w:sz w:val="28"/>
            <w:szCs w:val="28"/>
          </w:rPr>
          <mc:AlternateContent>
            <mc:Choice Requires="wps">
              <w:drawing>
                <wp:anchor distT="4294967294" distB="4294967294" distL="114300" distR="114300" simplePos="0" relativeHeight="251698688" behindDoc="0" locked="0" layoutInCell="1" allowOverlap="1" wp14:anchorId="5C89F3E1" wp14:editId="335DE5B1">
                  <wp:simplePos x="0" y="0"/>
                  <wp:positionH relativeFrom="column">
                    <wp:posOffset>-10160</wp:posOffset>
                  </wp:positionH>
                  <wp:positionV relativeFrom="paragraph">
                    <wp:posOffset>-127636</wp:posOffset>
                  </wp:positionV>
                  <wp:extent cx="6299835" cy="0"/>
                  <wp:effectExtent l="0" t="0" r="24765" b="19050"/>
                  <wp:wrapNone/>
                  <wp:docPr id="17" name="Connettore 1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noFill/>
                          <a:ln w="15875" cap="flat" cmpd="sng" algn="ctr">
                            <a:solidFill>
                              <a:sysClr val="window" lastClr="FFFFFF"/>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17668C2" id="Connettore 1 28" o:spid="_x0000_s1026" style="position:absolute;z-index:251698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pt,-10.05pt" to="495.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" strokecolor="window" strokeweight="1.25pt">
                  <o:lock v:ext="edit" shapetype="f"/>
                </v:line>
              </w:pict>
            </mc:Fallback>
          </mc:AlternateContent>
        </w:r>
        <w:r w:rsidRPr="00A17739">
          <w:rPr>
            <w:rFonts w:ascii="Arial" w:hAnsi="Arial" w:cs="Arial"/>
            <w:noProof/>
            <w:sz w:val="22"/>
            <w:szCs w:val="22"/>
          </w:rPr>
          <w:drawing>
            <wp:anchor distT="0" distB="0" distL="114300" distR="114300" simplePos="0" relativeHeight="251697664" behindDoc="0" locked="0" layoutInCell="1" allowOverlap="1" wp14:anchorId="344180CE" wp14:editId="4FF73FF1">
              <wp:simplePos x="0" y="0"/>
              <wp:positionH relativeFrom="column">
                <wp:posOffset>-545465</wp:posOffset>
              </wp:positionH>
              <wp:positionV relativeFrom="paragraph">
                <wp:posOffset>-3345505</wp:posOffset>
              </wp:positionV>
              <wp:extent cx="466725" cy="483235"/>
              <wp:effectExtent l="0" t="0" r="9525" b="0"/>
              <wp:wrapNone/>
              <wp:docPr id="3"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66725" cy="483235"/>
                      </a:xfrm>
                      <a:prstGeom prst="rect">
                        <a:avLst/>
                      </a:prstGeom>
                    </pic:spPr>
                  </pic:pic>
                </a:graphicData>
              </a:graphic>
            </wp:anchor>
          </w:drawing>
        </w:r>
        <w:sdt>
          <w:sdtPr>
            <w:rPr>
              <w:rFonts w:asciiTheme="majorHAnsi" w:eastAsiaTheme="majorEastAsia" w:hAnsiTheme="majorHAnsi" w:cstheme="majorBidi"/>
              <w:highlight w:val="lightGray"/>
            </w:rPr>
            <w:id w:val="2142457867"/>
            <w:docPartObj>
              <w:docPartGallery w:val="Page Numbers (Margins)"/>
              <w:docPartUnique/>
            </w:docPartObj>
          </w:sdtPr>
          <w:sdtContent>
            <w:r>
              <w:rPr>
                <w:rFonts w:ascii="Arial Narrow" w:hAnsi="Arial Narrow"/>
                <w:noProof/>
                <w:color w:val="FFFFFF" w:themeColor="background1"/>
              </w:rPr>
              <mc:AlternateContent>
                <mc:Choice Requires="wps">
                  <w:drawing>
                    <wp:anchor distT="0" distB="0" distL="114300" distR="114300" simplePos="0" relativeHeight="251695616" behindDoc="0" locked="0" layoutInCell="0" allowOverlap="1" wp14:anchorId="5B5CE9F9" wp14:editId="1688E51A">
                      <wp:simplePos x="0" y="0"/>
                      <wp:positionH relativeFrom="rightMargin">
                        <wp:posOffset>179070</wp:posOffset>
                      </wp:positionH>
                      <wp:positionV relativeFrom="margin">
                        <wp:posOffset>9758045</wp:posOffset>
                      </wp:positionV>
                      <wp:extent cx="398780" cy="329565"/>
                      <wp:effectExtent l="0" t="0" r="0" b="0"/>
                      <wp:wrapNone/>
                      <wp:docPr id="16"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29565"/>
                              </a:xfrm>
                              <a:prstGeom prst="rect">
                                <a:avLst/>
                              </a:prstGeom>
                              <a:noFill/>
                            </wps:spPr>
                            <wps:txbx>
                              <w:txbxContent>
                                <w:p w14:paraId="61ABF330" w14:textId="002047D2" w:rsidR="00B7452B" w:rsidRPr="001B745D" w:rsidRDefault="00B7452B"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006699">
                                    <w:rPr>
                                      <w:rFonts w:ascii="Arial" w:hAnsi="Arial" w:cs="Arial"/>
                                      <w:b/>
                                      <w:noProof/>
                                      <w:color w:val="244061" w:themeColor="accent1" w:themeShade="80"/>
                                      <w:sz w:val="20"/>
                                      <w:szCs w:val="20"/>
                                    </w:rPr>
                                    <w:t>7</w:t>
                                  </w:r>
                                  <w:r w:rsidRPr="00CA469E">
                                    <w:rPr>
                                      <w:rFonts w:ascii="Arial" w:hAnsi="Arial" w:cs="Arial"/>
                                      <w:b/>
                                      <w:color w:val="244061" w:themeColor="accent1" w:themeShade="80"/>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5B5CE9F9" id="Rettangolo 4" o:spid="_x0000_s1028" style="position:absolute;margin-left:14.1pt;margin-top:768.35pt;width:31.4pt;height:25.95pt;z-index:2516956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" o:allowincell="f" filled="f" stroked="f">
                      <v:textbox>
                        <w:txbxContent>
                          <w:p w14:paraId="61ABF330" w14:textId="002047D2" w:rsidR="00B7452B" w:rsidRPr="001B745D" w:rsidRDefault="00B7452B"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006699">
                              <w:rPr>
                                <w:rFonts w:ascii="Arial" w:hAnsi="Arial" w:cs="Arial"/>
                                <w:b/>
                                <w:noProof/>
                                <w:color w:val="244061" w:themeColor="accent1" w:themeShade="80"/>
                                <w:sz w:val="20"/>
                                <w:szCs w:val="20"/>
                              </w:rPr>
                              <w:t>7</w:t>
                            </w:r>
                            <w:r w:rsidRPr="00CA469E">
                              <w:rPr>
                                <w:rFonts w:ascii="Arial" w:hAnsi="Arial" w:cs="Arial"/>
                                <w:b/>
                                <w:color w:val="244061" w:themeColor="accent1" w:themeShade="80"/>
                                <w:sz w:val="20"/>
                                <w:szCs w:val="20"/>
                              </w:rPr>
                              <w:fldChar w:fldCharType="end"/>
                            </w:r>
                          </w:p>
                        </w:txbxContent>
                      </v:textbox>
                      <w10:wrap anchorx="margin" anchory="margin"/>
                    </v:rect>
                  </w:pict>
                </mc:Fallback>
              </mc:AlternateContent>
            </w:r>
            <w:r>
              <w:rPr>
                <w:noProof/>
              </w:rPr>
              <w:drawing>
                <wp:anchor distT="0" distB="0" distL="114300" distR="114300" simplePos="0" relativeHeight="251696640" behindDoc="0" locked="0" layoutInCell="1" allowOverlap="1" wp14:anchorId="1CC9E2A6" wp14:editId="0808C9BB">
                  <wp:simplePos x="0" y="0"/>
                  <wp:positionH relativeFrom="column">
                    <wp:posOffset>5678170</wp:posOffset>
                  </wp:positionH>
                  <wp:positionV relativeFrom="paragraph">
                    <wp:posOffset>-263525</wp:posOffset>
                  </wp:positionV>
                  <wp:extent cx="1256030" cy="788035"/>
                  <wp:effectExtent l="0" t="0" r="127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teReport_Tavola disegno 1 copia 2.png"/>
                          <pic:cNvPicPr/>
                        </pic:nvPicPr>
                        <pic:blipFill>
                          <a:blip r:embed="rId2"/>
                          <a:stretch>
                            <a:fillRect/>
                          </a:stretch>
                        </pic:blipFill>
                        <pic:spPr>
                          <a:xfrm>
                            <a:off x="0" y="0"/>
                            <a:ext cx="1256030" cy="788035"/>
                          </a:xfrm>
                          <a:prstGeom prst="rect">
                            <a:avLst/>
                          </a:prstGeom>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694592" behindDoc="0" locked="0" layoutInCell="1" allowOverlap="1" wp14:anchorId="542FD317" wp14:editId="49C1F01F">
                      <wp:simplePos x="0" y="0"/>
                      <wp:positionH relativeFrom="column">
                        <wp:posOffset>-620395</wp:posOffset>
                      </wp:positionH>
                      <wp:positionV relativeFrom="paragraph">
                        <wp:posOffset>-3084195</wp:posOffset>
                      </wp:positionV>
                      <wp:extent cx="7553325" cy="3476625"/>
                      <wp:effectExtent l="0" t="0" r="9525" b="9525"/>
                      <wp:wrapNone/>
                      <wp:docPr id="15"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347662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013C57B" id="Rettangolo 10" o:spid="_x0000_s1026" style="position:absolute;margin-left:-48.85pt;margin-top:-242.85pt;width:594.75pt;height:273.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" fillcolor="#d9d9d9" stroked="f" strokeweight="2pt">
                      <v:path arrowok="t"/>
                    </v:rect>
                  </w:pict>
                </mc:Fallback>
              </mc:AlternateContent>
            </w:r>
          </w:sdtContent>
        </w:sdt>
      </w:p>
    </w:sdtContent>
  </w:sdt>
  <w:p w14:paraId="0CD37B67" w14:textId="77777777" w:rsidR="00B7452B" w:rsidRDefault="00B7452B" w:rsidP="00842757">
    <w:pPr>
      <w:pStyle w:val="Pidipagina"/>
      <w:tabs>
        <w:tab w:val="clear" w:pos="4819"/>
        <w:tab w:val="clear" w:pos="9638"/>
        <w:tab w:val="left" w:pos="7773"/>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highlight w:val="lightGray"/>
      </w:rPr>
      <w:id w:val="-1552604650"/>
      <w:docPartObj>
        <w:docPartGallery w:val="Page Numbers (Bottom of Page)"/>
        <w:docPartUnique/>
      </w:docPartObj>
    </w:sdtPr>
    <w:sdtContent>
      <w:p w14:paraId="1AE38924" w14:textId="77777777" w:rsidR="00B7452B" w:rsidRDefault="00B7452B">
        <w:pPr>
          <w:rPr>
            <w:rFonts w:asciiTheme="majorHAnsi" w:eastAsiaTheme="majorEastAsia" w:hAnsiTheme="majorHAnsi" w:cstheme="majorBidi"/>
          </w:rPr>
        </w:pPr>
        <w:r>
          <w:rPr>
            <w:noProof/>
            <w:sz w:val="28"/>
            <w:szCs w:val="28"/>
          </w:rPr>
          <mc:AlternateContent>
            <mc:Choice Requires="wps">
              <w:drawing>
                <wp:anchor distT="4294967294" distB="4294967294" distL="114300" distR="114300" simplePos="0" relativeHeight="251692544" behindDoc="0" locked="0" layoutInCell="1" allowOverlap="1" wp14:anchorId="3025BC24" wp14:editId="32AF739E">
                  <wp:simplePos x="0" y="0"/>
                  <wp:positionH relativeFrom="column">
                    <wp:posOffset>-10160</wp:posOffset>
                  </wp:positionH>
                  <wp:positionV relativeFrom="paragraph">
                    <wp:posOffset>-2532381</wp:posOffset>
                  </wp:positionV>
                  <wp:extent cx="6299835" cy="0"/>
                  <wp:effectExtent l="0" t="0" r="24765" b="19050"/>
                  <wp:wrapNone/>
                  <wp:docPr id="14"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ACFB459" id="Connettore 1 12" o:spid="_x0000_s1026" style="position:absolute;z-index:251692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pt,-199.4pt" to="495.25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" strokecolor="white [3212]" strokeweight="1.25pt">
                  <o:lock v:ext="edit" shapetype="f"/>
                </v:line>
              </w:pict>
            </mc:Fallback>
          </mc:AlternateContent>
        </w:r>
        <w:r>
          <w:rPr>
            <w:noProof/>
            <w:sz w:val="28"/>
            <w:szCs w:val="28"/>
          </w:rPr>
          <mc:AlternateContent>
            <mc:Choice Requires="wps">
              <w:drawing>
                <wp:anchor distT="4294967294" distB="4294967294" distL="114300" distR="114300" simplePos="0" relativeHeight="251691520" behindDoc="0" locked="0" layoutInCell="1" allowOverlap="1" wp14:anchorId="0FF33344" wp14:editId="00027A65">
                  <wp:simplePos x="0" y="0"/>
                  <wp:positionH relativeFrom="column">
                    <wp:posOffset>-10160</wp:posOffset>
                  </wp:positionH>
                  <wp:positionV relativeFrom="paragraph">
                    <wp:posOffset>-127636</wp:posOffset>
                  </wp:positionV>
                  <wp:extent cx="6299835" cy="0"/>
                  <wp:effectExtent l="0" t="0" r="24765" b="19050"/>
                  <wp:wrapNone/>
                  <wp:docPr id="28" name="Connettore 1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63C6B8E" id="Connettore 1 28" o:spid="_x0000_s1026" style="position:absolute;z-index:251691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pt,-10.05pt" to="495.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" strokecolor="white [3212]" strokeweight="1.25pt">
                  <o:lock v:ext="edit" shapetype="f"/>
                </v:line>
              </w:pict>
            </mc:Fallback>
          </mc:AlternateContent>
        </w:r>
        <w:sdt>
          <w:sdtPr>
            <w:rPr>
              <w:rFonts w:asciiTheme="majorHAnsi" w:eastAsiaTheme="majorEastAsia" w:hAnsiTheme="majorHAnsi" w:cstheme="majorBidi"/>
              <w:highlight w:val="lightGray"/>
            </w:rPr>
            <w:id w:val="-156538668"/>
            <w:docPartObj>
              <w:docPartGallery w:val="Page Numbers (Margins)"/>
              <w:docPartUnique/>
            </w:docPartObj>
          </w:sdtPr>
          <w:sdtContent>
            <w:r>
              <w:rPr>
                <w:rFonts w:ascii="Arial Narrow" w:hAnsi="Arial Narrow"/>
                <w:noProof/>
                <w:color w:val="FFFFFF" w:themeColor="background1"/>
              </w:rPr>
              <mc:AlternateContent>
                <mc:Choice Requires="wps">
                  <w:drawing>
                    <wp:anchor distT="0" distB="0" distL="114300" distR="114300" simplePos="0" relativeHeight="251689472" behindDoc="0" locked="0" layoutInCell="0" allowOverlap="1" wp14:anchorId="7A1E1B20" wp14:editId="7003A1CB">
                      <wp:simplePos x="0" y="0"/>
                      <wp:positionH relativeFrom="rightMargin">
                        <wp:posOffset>179070</wp:posOffset>
                      </wp:positionH>
                      <wp:positionV relativeFrom="margin">
                        <wp:posOffset>9758045</wp:posOffset>
                      </wp:positionV>
                      <wp:extent cx="398780" cy="329565"/>
                      <wp:effectExtent l="0" t="0" r="0" b="0"/>
                      <wp:wrapNone/>
                      <wp:docPr id="545"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29565"/>
                              </a:xfrm>
                              <a:prstGeom prst="rect">
                                <a:avLst/>
                              </a:prstGeom>
                              <a:noFill/>
                            </wps:spPr>
                            <wps:txbx>
                              <w:txbxContent>
                                <w:p w14:paraId="5F0D6A0D" w14:textId="6A768D4E" w:rsidR="00B7452B" w:rsidRPr="001B745D" w:rsidRDefault="00B7452B"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006699">
                                    <w:rPr>
                                      <w:rFonts w:ascii="Arial" w:hAnsi="Arial" w:cs="Arial"/>
                                      <w:b/>
                                      <w:noProof/>
                                      <w:color w:val="244061" w:themeColor="accent1" w:themeShade="80"/>
                                      <w:sz w:val="20"/>
                                      <w:szCs w:val="20"/>
                                    </w:rPr>
                                    <w:t>15</w:t>
                                  </w:r>
                                  <w:r w:rsidRPr="00CA469E">
                                    <w:rPr>
                                      <w:rFonts w:ascii="Arial" w:hAnsi="Arial" w:cs="Arial"/>
                                      <w:b/>
                                      <w:color w:val="244061" w:themeColor="accent1" w:themeShade="80"/>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7A1E1B20" id="_x0000_s1029" style="position:absolute;margin-left:14.1pt;margin-top:768.35pt;width:31.4pt;height:25.95pt;z-index:2516894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" o:allowincell="f" filled="f" stroked="f">
                      <v:textbox>
                        <w:txbxContent>
                          <w:p w14:paraId="5F0D6A0D" w14:textId="6A768D4E" w:rsidR="00B7452B" w:rsidRPr="001B745D" w:rsidRDefault="00B7452B"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006699">
                              <w:rPr>
                                <w:rFonts w:ascii="Arial" w:hAnsi="Arial" w:cs="Arial"/>
                                <w:b/>
                                <w:noProof/>
                                <w:color w:val="244061" w:themeColor="accent1" w:themeShade="80"/>
                                <w:sz w:val="20"/>
                                <w:szCs w:val="20"/>
                              </w:rPr>
                              <w:t>15</w:t>
                            </w:r>
                            <w:r w:rsidRPr="00CA469E">
                              <w:rPr>
                                <w:rFonts w:ascii="Arial" w:hAnsi="Arial" w:cs="Arial"/>
                                <w:b/>
                                <w:color w:val="244061" w:themeColor="accent1" w:themeShade="80"/>
                                <w:sz w:val="20"/>
                                <w:szCs w:val="20"/>
                              </w:rPr>
                              <w:fldChar w:fldCharType="end"/>
                            </w:r>
                          </w:p>
                        </w:txbxContent>
                      </v:textbox>
                      <w10:wrap anchorx="margin" anchory="margin"/>
                    </v:rect>
                  </w:pict>
                </mc:Fallback>
              </mc:AlternateContent>
            </w:r>
            <w:r>
              <w:rPr>
                <w:noProof/>
              </w:rPr>
              <w:drawing>
                <wp:anchor distT="0" distB="0" distL="114300" distR="114300" simplePos="0" relativeHeight="251688448" behindDoc="0" locked="0" layoutInCell="1" allowOverlap="1" wp14:anchorId="5662EA99" wp14:editId="2BCEC12E">
                  <wp:simplePos x="0" y="0"/>
                  <wp:positionH relativeFrom="column">
                    <wp:posOffset>5678170</wp:posOffset>
                  </wp:positionH>
                  <wp:positionV relativeFrom="paragraph">
                    <wp:posOffset>-263525</wp:posOffset>
                  </wp:positionV>
                  <wp:extent cx="1256030" cy="788035"/>
                  <wp:effectExtent l="0" t="0" r="1270"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teReport_Tavola disegno 1 copia 2.png"/>
                          <pic:cNvPicPr/>
                        </pic:nvPicPr>
                        <pic:blipFill>
                          <a:blip r:embed="rId1"/>
                          <a:stretch>
                            <a:fillRect/>
                          </a:stretch>
                        </pic:blipFill>
                        <pic:spPr>
                          <a:xfrm>
                            <a:off x="0" y="0"/>
                            <a:ext cx="1256030" cy="788035"/>
                          </a:xfrm>
                          <a:prstGeom prst="rect">
                            <a:avLst/>
                          </a:prstGeom>
                        </pic:spPr>
                      </pic:pic>
                    </a:graphicData>
                  </a:graphic>
                </wp:anchor>
              </w:drawing>
            </w:r>
          </w:sdtContent>
        </w:sdt>
      </w:p>
    </w:sdtContent>
  </w:sdt>
  <w:p w14:paraId="2610ECFE" w14:textId="77777777" w:rsidR="00B7452B" w:rsidRDefault="00B7452B" w:rsidP="00842757">
    <w:pPr>
      <w:pStyle w:val="Pidipagina"/>
      <w:tabs>
        <w:tab w:val="clear" w:pos="4819"/>
        <w:tab w:val="clear" w:pos="9638"/>
        <w:tab w:val="left" w:pos="7773"/>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395DE3" w14:textId="77777777" w:rsidR="00B7452B" w:rsidRDefault="00B7452B">
      <w:r>
        <w:separator/>
      </w:r>
    </w:p>
  </w:footnote>
  <w:footnote w:type="continuationSeparator" w:id="0">
    <w:p w14:paraId="660C2EF7" w14:textId="77777777" w:rsidR="00B7452B" w:rsidRDefault="00B7452B">
      <w:r>
        <w:continuationSeparator/>
      </w:r>
    </w:p>
  </w:footnote>
  <w:footnote w:id="1">
    <w:p w14:paraId="165B4988" w14:textId="77777777" w:rsidR="00B7452B" w:rsidRPr="00CE7D0F" w:rsidRDefault="00B7452B" w:rsidP="00CE7D0F">
      <w:pPr>
        <w:pStyle w:val="Testonotaapidipagina"/>
        <w:jc w:val="both"/>
        <w:rPr>
          <w:rFonts w:ascii="Arial" w:hAnsi="Arial" w:cs="Arial"/>
          <w:sz w:val="16"/>
          <w:szCs w:val="16"/>
        </w:rPr>
      </w:pPr>
      <w:r w:rsidRPr="00CE7D0F">
        <w:rPr>
          <w:rStyle w:val="Rimandonotaapidipagina"/>
          <w:rFonts w:ascii="Arial" w:hAnsi="Arial" w:cs="Arial"/>
          <w:sz w:val="16"/>
          <w:szCs w:val="16"/>
        </w:rPr>
        <w:footnoteRef/>
      </w:r>
      <w:r w:rsidRPr="00CE7D0F">
        <w:rPr>
          <w:rFonts w:ascii="Arial" w:hAnsi="Arial" w:cs="Arial"/>
          <w:sz w:val="16"/>
          <w:szCs w:val="16"/>
        </w:rPr>
        <w:t xml:space="preserve"> </w:t>
      </w:r>
      <w:r w:rsidRPr="00CE7D0F">
        <w:rPr>
          <w:rFonts w:ascii="Arial" w:eastAsia="Arial" w:hAnsi="Arial" w:cs="Arial"/>
          <w:color w:val="000000"/>
          <w:sz w:val="16"/>
          <w:szCs w:val="16"/>
        </w:rPr>
        <w:t>È in corso un ulteriore ampliamento di tale Regolamento, volto a rendere obbligatori Conti relativi alle foreste, ai sussidi ambientali e agli ecosistemi.</w:t>
      </w:r>
    </w:p>
  </w:footnote>
  <w:footnote w:id="2">
    <w:p w14:paraId="4720B694" w14:textId="77777777" w:rsidR="00B7452B" w:rsidRPr="00CE7D0F" w:rsidRDefault="00B7452B" w:rsidP="00CE7D0F">
      <w:pPr>
        <w:pStyle w:val="Testonotaapidipagina"/>
        <w:jc w:val="both"/>
        <w:rPr>
          <w:rFonts w:ascii="Arial" w:hAnsi="Arial" w:cs="Arial"/>
          <w:sz w:val="16"/>
          <w:szCs w:val="16"/>
        </w:rPr>
      </w:pPr>
      <w:r w:rsidRPr="00CE7D0F">
        <w:rPr>
          <w:rStyle w:val="Rimandonotaapidipagina"/>
          <w:rFonts w:ascii="Arial" w:hAnsi="Arial" w:cs="Arial"/>
          <w:sz w:val="16"/>
          <w:szCs w:val="16"/>
        </w:rPr>
        <w:footnoteRef/>
      </w:r>
      <w:r w:rsidRPr="00CE7D0F">
        <w:rPr>
          <w:rFonts w:ascii="Arial" w:hAnsi="Arial" w:cs="Arial"/>
          <w:sz w:val="16"/>
          <w:szCs w:val="16"/>
        </w:rPr>
        <w:t xml:space="preserve"> </w:t>
      </w:r>
      <w:r w:rsidRPr="00CE7D0F">
        <w:rPr>
          <w:rFonts w:ascii="Arial" w:eastAsia="Arial" w:hAnsi="Arial" w:cs="Arial"/>
          <w:color w:val="000000"/>
          <w:sz w:val="16"/>
          <w:szCs w:val="16"/>
        </w:rPr>
        <w:t xml:space="preserve">Per una data unità produttiva, l’attività principale è quella il cui valore aggiunto supera quello di qualsiasi altra attività esercitata nella stessa unità, l’attività secondaria è una attività esercitata in aggiunta all’attività principale e l’attività ausiliaria consiste in una attività di supporto (acquisto, vendita, </w:t>
      </w:r>
      <w:r w:rsidRPr="00CE7D0F">
        <w:rPr>
          <w:rFonts w:ascii="Arial" w:eastAsia="Arial" w:hAnsi="Arial" w:cs="Arial"/>
          <w:i/>
          <w:iCs/>
          <w:color w:val="000000"/>
          <w:sz w:val="16"/>
          <w:szCs w:val="16"/>
        </w:rPr>
        <w:t>marketing</w:t>
      </w:r>
      <w:r w:rsidRPr="00CE7D0F">
        <w:rPr>
          <w:rFonts w:ascii="Arial" w:eastAsia="Arial" w:hAnsi="Arial" w:cs="Arial"/>
          <w:color w:val="000000"/>
          <w:sz w:val="16"/>
          <w:szCs w:val="16"/>
        </w:rPr>
        <w:t>, elaborazione dati, trasporto, immagazzinamento ecc.) esercitata al fine di creare le condizioni idonee all’esercizio delle attività principali o secondarie.</w:t>
      </w:r>
    </w:p>
  </w:footnote>
  <w:footnote w:id="3">
    <w:p w14:paraId="4D09333E" w14:textId="77777777" w:rsidR="00B7452B" w:rsidRPr="009618C4" w:rsidRDefault="00B7452B" w:rsidP="00CE7D0F">
      <w:pPr>
        <w:pStyle w:val="footnotedescription"/>
        <w:spacing w:line="252" w:lineRule="auto"/>
        <w:ind w:left="0"/>
        <w:jc w:val="both"/>
      </w:pPr>
      <w:r w:rsidRPr="009618C4">
        <w:rPr>
          <w:rStyle w:val="footnotemark"/>
        </w:rPr>
        <w:footnoteRef/>
      </w:r>
      <w:r w:rsidRPr="009618C4">
        <w:t xml:space="preserve"> Cfr. </w:t>
      </w:r>
      <w:r w:rsidRPr="00CE7D0F">
        <w:t>Regolamento di esecuzione (Ue) 2015/2174 della Commissione del 24 novembre 2015 relativo al compendio indicativo dei beni e servizi ambientali</w:t>
      </w:r>
      <w:hyperlink r:id="rId1">
        <w:r w:rsidRPr="009618C4">
          <w:t xml:space="preserve">: </w:t>
        </w:r>
      </w:hyperlink>
      <w:hyperlink r:id="rId2">
        <w:r w:rsidRPr="009618C4">
          <w:rPr>
            <w:color w:val="0000FF"/>
            <w:u w:val="single" w:color="0000FF"/>
          </w:rPr>
          <w:t>https://eur</w:t>
        </w:r>
      </w:hyperlink>
      <w:hyperlink r:id="rId3">
        <w:r w:rsidRPr="009618C4">
          <w:rPr>
            <w:color w:val="0000FF"/>
            <w:u w:val="single" w:color="0000FF"/>
          </w:rPr>
          <w:t>-</w:t>
        </w:r>
      </w:hyperlink>
      <w:hyperlink r:id="rId4">
        <w:r w:rsidRPr="009618C4">
          <w:rPr>
            <w:color w:val="0000FF"/>
            <w:u w:val="single" w:color="0000FF"/>
          </w:rPr>
          <w:t>lex.europa.eu/legal</w:t>
        </w:r>
      </w:hyperlink>
      <w:hyperlink r:id="rId5"/>
      <w:hyperlink r:id="rId6">
        <w:r w:rsidRPr="009618C4">
          <w:rPr>
            <w:color w:val="0000FF"/>
            <w:u w:val="single" w:color="0000FF"/>
          </w:rPr>
          <w:t>content/IT/TXT/HTML/?uri=CELEX:32015R2174&amp;from=IT</w:t>
        </w:r>
      </w:hyperlink>
      <w:hyperlink r:id="rId7">
        <w:r w:rsidRPr="009618C4">
          <w:t xml:space="preserve"> </w:t>
        </w:r>
      </w:hyperlink>
      <w:r w:rsidRPr="009618C4">
        <w:t xml:space="preserve"> </w:t>
      </w:r>
    </w:p>
  </w:footnote>
  <w:footnote w:id="4">
    <w:p w14:paraId="74FFA571" w14:textId="77777777" w:rsidR="00B7452B" w:rsidRPr="00CE7D0F" w:rsidRDefault="00B7452B" w:rsidP="00CE7D0F">
      <w:pPr>
        <w:pStyle w:val="Testonotaapidipagina"/>
        <w:jc w:val="both"/>
        <w:rPr>
          <w:rFonts w:ascii="Arial" w:eastAsia="Arial" w:hAnsi="Arial" w:cs="Arial"/>
          <w:color w:val="000000"/>
          <w:sz w:val="16"/>
          <w:szCs w:val="16"/>
        </w:rPr>
      </w:pPr>
      <w:r w:rsidRPr="00CE7D0F">
        <w:rPr>
          <w:rStyle w:val="Rimandonotaapidipagina"/>
          <w:rFonts w:ascii="Arial" w:hAnsi="Arial" w:cs="Arial"/>
          <w:sz w:val="16"/>
          <w:szCs w:val="16"/>
        </w:rPr>
        <w:footnoteRef/>
      </w:r>
      <w:r w:rsidRPr="00CE7D0F">
        <w:rPr>
          <w:rFonts w:ascii="Arial" w:hAnsi="Arial" w:cs="Arial"/>
          <w:sz w:val="16"/>
          <w:szCs w:val="16"/>
        </w:rPr>
        <w:t xml:space="preserve"> </w:t>
      </w:r>
      <w:r w:rsidRPr="00CE7D0F">
        <w:rPr>
          <w:rFonts w:ascii="Arial" w:eastAsia="Arial" w:hAnsi="Arial" w:cs="Arial"/>
          <w:color w:val="000000"/>
          <w:sz w:val="16"/>
          <w:szCs w:val="16"/>
        </w:rPr>
        <w:t xml:space="preserve">Per i conti dei flussi di materia, a partire dal 2023. Questi sono stati finora diffusi a febbraio, con serie di dati definitive fino all’anno di riferimento t-3 e provvisorie per l’anno t-2.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ACA51" w14:textId="77777777" w:rsidR="00B7452B" w:rsidRDefault="00B7452B" w:rsidP="00DF2FE2">
    <w:pPr>
      <w:pStyle w:val="Intestazione"/>
      <w:tabs>
        <w:tab w:val="left" w:pos="0"/>
      </w:tabs>
      <w:ind w:left="-851"/>
    </w:pPr>
    <w:r>
      <w:rPr>
        <w:noProof/>
      </w:rPr>
      <mc:AlternateContent>
        <mc:Choice Requires="wps">
          <w:drawing>
            <wp:anchor distT="0" distB="0" distL="114300" distR="114300" simplePos="0" relativeHeight="251657216" behindDoc="0" locked="0" layoutInCell="1" allowOverlap="1" wp14:anchorId="2D0B0938" wp14:editId="1B6D7F97">
              <wp:simplePos x="0" y="0"/>
              <wp:positionH relativeFrom="column">
                <wp:posOffset>5397500</wp:posOffset>
              </wp:positionH>
              <wp:positionV relativeFrom="paragraph">
                <wp:posOffset>1270</wp:posOffset>
              </wp:positionV>
              <wp:extent cx="1625600" cy="396240"/>
              <wp:effectExtent l="0" t="0" r="0" b="381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396240"/>
                      </a:xfrm>
                      <a:prstGeom prst="rect">
                        <a:avLst/>
                      </a:prstGeom>
                      <a:solidFill>
                        <a:schemeClr val="tx2"/>
                      </a:solidFill>
                      <a:ln>
                        <a:noFill/>
                      </a:ln>
                    </wps:spPr>
                    <wps:txbx>
                      <w:txbxContent>
                        <w:p w14:paraId="62290EA0" w14:textId="77777777" w:rsidR="00B7452B" w:rsidRPr="00A804E3" w:rsidRDefault="00B7452B" w:rsidP="00DF2FE2">
                          <w:pPr>
                            <w:autoSpaceDE w:val="0"/>
                            <w:autoSpaceDN w:val="0"/>
                            <w:adjustRightInd w:val="0"/>
                            <w:jc w:val="center"/>
                            <w:rPr>
                              <w:rFonts w:ascii="Arial Narrow" w:hAnsi="Arial Narrow" w:cs="Arial"/>
                              <w:b/>
                              <w:bCs/>
                              <w:color w:val="FFFFFF" w:themeColor="background1"/>
                              <w:sz w:val="8"/>
                              <w:szCs w:val="26"/>
                            </w:rPr>
                          </w:pPr>
                        </w:p>
                        <w:p w14:paraId="5C22FA26" w14:textId="00B8B38D" w:rsidR="00B7452B" w:rsidRPr="00690C34" w:rsidRDefault="00B7452B" w:rsidP="00C309B1">
                          <w:pPr>
                            <w:autoSpaceDE w:val="0"/>
                            <w:autoSpaceDN w:val="0"/>
                            <w:adjustRightInd w:val="0"/>
                            <w:spacing w:before="40"/>
                            <w:jc w:val="center"/>
                            <w:rPr>
                              <w:rFonts w:ascii="Arial Narrow" w:hAnsi="Arial Narrow" w:cs="Arial"/>
                              <w:b/>
                              <w:bCs/>
                              <w:color w:val="FFFFFF" w:themeColor="background1"/>
                              <w:sz w:val="26"/>
                              <w:szCs w:val="26"/>
                            </w:rPr>
                          </w:pPr>
                          <w:r>
                            <w:rPr>
                              <w:rFonts w:ascii="Arial Narrow" w:hAnsi="Arial Narrow" w:cs="Arial"/>
                              <w:b/>
                              <w:bCs/>
                              <w:color w:val="FFFFFF" w:themeColor="background1"/>
                              <w:sz w:val="26"/>
                              <w:szCs w:val="26"/>
                            </w:rPr>
                            <w:t>21 DICEMBRE</w:t>
                          </w:r>
                          <w:r w:rsidRPr="00123E17">
                            <w:rPr>
                              <w:rFonts w:ascii="Arial Narrow" w:hAnsi="Arial Narrow" w:cs="Arial"/>
                              <w:b/>
                              <w:bCs/>
                              <w:color w:val="FFFFFF" w:themeColor="background1"/>
                              <w:sz w:val="26"/>
                              <w:szCs w:val="26"/>
                            </w:rPr>
                            <w:t xml:space="preserve"> 20</w:t>
                          </w:r>
                          <w:r>
                            <w:rPr>
                              <w:rFonts w:ascii="Arial Narrow" w:hAnsi="Arial Narrow" w:cs="Arial"/>
                              <w:b/>
                              <w:bCs/>
                              <w:color w:val="FFFFFF" w:themeColor="background1"/>
                              <w:sz w:val="26"/>
                              <w:szCs w:val="26"/>
                            </w:rPr>
                            <w:t>22</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B0938" id="_x0000_t202" coordsize="21600,21600" o:spt="202" path="m,l,21600r21600,l21600,xe">
              <v:stroke joinstyle="miter"/>
              <v:path gradientshapeok="t" o:connecttype="rect"/>
            </v:shapetype>
            <v:shape id="Text Box 2" o:spid="_x0000_s1026" type="#_x0000_t202" style="position:absolute;left:0;text-align:left;margin-left:425pt;margin-top:.1pt;width:128pt;height:3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" fillcolor="#1f497d [3215]" stroked="f">
              <v:textbox inset="1.5mm,,1.5mm">
                <w:txbxContent>
                  <w:p w14:paraId="62290EA0" w14:textId="77777777" w:rsidR="00B7452B" w:rsidRPr="00A804E3" w:rsidRDefault="00B7452B" w:rsidP="00DF2FE2">
                    <w:pPr>
                      <w:autoSpaceDE w:val="0"/>
                      <w:autoSpaceDN w:val="0"/>
                      <w:adjustRightInd w:val="0"/>
                      <w:jc w:val="center"/>
                      <w:rPr>
                        <w:rFonts w:ascii="Arial Narrow" w:hAnsi="Arial Narrow" w:cs="Arial"/>
                        <w:b/>
                        <w:bCs/>
                        <w:color w:val="FFFFFF" w:themeColor="background1"/>
                        <w:sz w:val="8"/>
                        <w:szCs w:val="26"/>
                      </w:rPr>
                    </w:pPr>
                  </w:p>
                  <w:p w14:paraId="5C22FA26" w14:textId="00B8B38D" w:rsidR="00B7452B" w:rsidRPr="00690C34" w:rsidRDefault="00B7452B" w:rsidP="00C309B1">
                    <w:pPr>
                      <w:autoSpaceDE w:val="0"/>
                      <w:autoSpaceDN w:val="0"/>
                      <w:adjustRightInd w:val="0"/>
                      <w:spacing w:before="40"/>
                      <w:jc w:val="center"/>
                      <w:rPr>
                        <w:rFonts w:ascii="Arial Narrow" w:hAnsi="Arial Narrow" w:cs="Arial"/>
                        <w:b/>
                        <w:bCs/>
                        <w:color w:val="FFFFFF" w:themeColor="background1"/>
                        <w:sz w:val="26"/>
                        <w:szCs w:val="26"/>
                      </w:rPr>
                    </w:pPr>
                    <w:r>
                      <w:rPr>
                        <w:rFonts w:ascii="Arial Narrow" w:hAnsi="Arial Narrow" w:cs="Arial"/>
                        <w:b/>
                        <w:bCs/>
                        <w:color w:val="FFFFFF" w:themeColor="background1"/>
                        <w:sz w:val="26"/>
                        <w:szCs w:val="26"/>
                      </w:rPr>
                      <w:t>21 DICEMBRE</w:t>
                    </w:r>
                    <w:r w:rsidRPr="00123E17">
                      <w:rPr>
                        <w:rFonts w:ascii="Arial Narrow" w:hAnsi="Arial Narrow" w:cs="Arial"/>
                        <w:b/>
                        <w:bCs/>
                        <w:color w:val="FFFFFF" w:themeColor="background1"/>
                        <w:sz w:val="26"/>
                        <w:szCs w:val="26"/>
                      </w:rPr>
                      <w:t xml:space="preserve"> 20</w:t>
                    </w:r>
                    <w:r>
                      <w:rPr>
                        <w:rFonts w:ascii="Arial Narrow" w:hAnsi="Arial Narrow" w:cs="Arial"/>
                        <w:b/>
                        <w:bCs/>
                        <w:color w:val="FFFFFF" w:themeColor="background1"/>
                        <w:sz w:val="26"/>
                        <w:szCs w:val="26"/>
                      </w:rPr>
                      <w:t>22</w:t>
                    </w:r>
                  </w:p>
                </w:txbxContent>
              </v:textbox>
            </v:shape>
          </w:pict>
        </mc:Fallback>
      </mc:AlternateContent>
    </w:r>
    <w:r>
      <w:rPr>
        <w:noProof/>
      </w:rPr>
      <w:drawing>
        <wp:inline distT="0" distB="0" distL="0" distR="0" wp14:anchorId="52C479F4" wp14:editId="56876506">
          <wp:extent cx="7560000" cy="1645200"/>
          <wp:effectExtent l="0" t="0" r="0" b="635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stateReport_Tavola disegno 1.jpg"/>
                  <pic:cNvPicPr/>
                </pic:nvPicPr>
                <pic:blipFill>
                  <a:blip r:embed="rId1"/>
                  <a:stretch>
                    <a:fillRect/>
                  </a:stretch>
                </pic:blipFill>
                <pic:spPr>
                  <a:xfrm>
                    <a:off x="0" y="0"/>
                    <a:ext cx="7560000" cy="16452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gliatabella"/>
      <w:tblW w:w="12339"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9323"/>
      <w:gridCol w:w="3016"/>
    </w:tblGrid>
    <w:tr w:rsidR="00B7452B" w:rsidRPr="00DD6CCE" w14:paraId="01AA2139" w14:textId="77777777" w:rsidTr="00C312B1">
      <w:trPr>
        <w:trHeight w:hRule="exact" w:val="567"/>
      </w:trPr>
      <w:tc>
        <w:tcPr>
          <w:tcW w:w="9323" w:type="dxa"/>
          <w:shd w:val="clear" w:color="auto" w:fill="1F497D" w:themeFill="text2"/>
          <w:vAlign w:val="center"/>
        </w:tcPr>
        <w:p w14:paraId="15246D80" w14:textId="22AC7A9C" w:rsidR="00B7452B" w:rsidRPr="005D6783" w:rsidRDefault="00B7452B" w:rsidP="00C312B1">
          <w:pPr>
            <w:pStyle w:val="Intestazione"/>
            <w:spacing w:before="120"/>
            <w:ind w:left="567"/>
            <w:jc w:val="left"/>
            <w:rPr>
              <w:rFonts w:ascii="Arial Narrow" w:hAnsi="Arial Narrow"/>
              <w:color w:val="FFFFFF" w:themeColor="background1"/>
              <w:sz w:val="24"/>
            </w:rPr>
          </w:pPr>
          <w:r>
            <w:rPr>
              <w:rFonts w:ascii="Arial Narrow" w:hAnsi="Arial Narrow"/>
              <w:color w:val="FFFFFF" w:themeColor="background1"/>
              <w:sz w:val="24"/>
            </w:rPr>
            <w:t>ECONOMIA E AMBIENTE: PRINCIPALI INDICATORI</w:t>
          </w:r>
        </w:p>
      </w:tc>
      <w:tc>
        <w:tcPr>
          <w:tcW w:w="3016" w:type="dxa"/>
          <w:shd w:val="clear" w:color="auto" w:fill="1F497D" w:themeFill="text2"/>
          <w:vAlign w:val="center"/>
        </w:tcPr>
        <w:p w14:paraId="31897715" w14:textId="77777777" w:rsidR="00B7452B" w:rsidRPr="00DD6CCE" w:rsidRDefault="00B7452B" w:rsidP="00C312B1">
          <w:pPr>
            <w:pStyle w:val="Intestazione"/>
            <w:tabs>
              <w:tab w:val="left" w:pos="2160"/>
            </w:tabs>
            <w:ind w:left="284" w:hanging="100"/>
            <w:jc w:val="left"/>
            <w:rPr>
              <w:color w:val="FFFFFF" w:themeColor="background1"/>
            </w:rPr>
          </w:pPr>
          <w:r>
            <w:rPr>
              <w:noProof/>
              <w:color w:val="FFFFFF" w:themeColor="background1"/>
            </w:rPr>
            <w:drawing>
              <wp:anchor distT="0" distB="0" distL="114300" distR="114300" simplePos="0" relativeHeight="251699712" behindDoc="0" locked="0" layoutInCell="1" allowOverlap="1" wp14:anchorId="33DA6002" wp14:editId="5BA2006C">
                <wp:simplePos x="0" y="0"/>
                <wp:positionH relativeFrom="column">
                  <wp:posOffset>598805</wp:posOffset>
                </wp:positionH>
                <wp:positionV relativeFrom="paragraph">
                  <wp:posOffset>-1905</wp:posOffset>
                </wp:positionV>
                <wp:extent cx="695325" cy="198120"/>
                <wp:effectExtent l="0" t="0" r="9525"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llWhite-01.png"/>
                        <pic:cNvPicPr/>
                      </pic:nvPicPr>
                      <pic:blipFill>
                        <a:blip r:embed="rId1"/>
                        <a:stretch>
                          <a:fillRect/>
                        </a:stretch>
                      </pic:blipFill>
                      <pic:spPr>
                        <a:xfrm>
                          <a:off x="0" y="0"/>
                          <a:ext cx="695325" cy="198120"/>
                        </a:xfrm>
                        <a:prstGeom prst="rect">
                          <a:avLst/>
                        </a:prstGeom>
                      </pic:spPr>
                    </pic:pic>
                  </a:graphicData>
                </a:graphic>
              </wp:anchor>
            </w:drawing>
          </w:r>
        </w:p>
      </w:tc>
    </w:tr>
  </w:tbl>
  <w:p w14:paraId="76C92AD8" w14:textId="77777777" w:rsidR="00B7452B" w:rsidRPr="007D0BF5" w:rsidRDefault="00B7452B" w:rsidP="00B15087">
    <w:pPr>
      <w:pStyle w:val="Intestazione"/>
      <w:tabs>
        <w:tab w:val="clear" w:pos="4819"/>
        <w:tab w:val="clear" w:pos="9638"/>
        <w:tab w:val="left" w:pos="595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FDE24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FC5803"/>
    <w:multiLevelType w:val="hybridMultilevel"/>
    <w:tmpl w:val="4232E8C6"/>
    <w:lvl w:ilvl="0" w:tplc="0C2EB14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4485E9A"/>
    <w:multiLevelType w:val="hybridMultilevel"/>
    <w:tmpl w:val="8A542CFA"/>
    <w:lvl w:ilvl="0" w:tplc="7092F3C6">
      <w:numFmt w:val="bullet"/>
      <w:lvlText w:val="-"/>
      <w:lvlJc w:val="left"/>
      <w:pPr>
        <w:ind w:left="720" w:hanging="360"/>
      </w:pPr>
      <w:rPr>
        <w:rFonts w:ascii="Arial" w:eastAsiaTheme="minorHAnsi" w:hAnsi="Arial" w:cs="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4EE5245"/>
    <w:multiLevelType w:val="hybridMultilevel"/>
    <w:tmpl w:val="D5F47FA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51D620F"/>
    <w:multiLevelType w:val="singleLevel"/>
    <w:tmpl w:val="6024B9BE"/>
    <w:lvl w:ilvl="0">
      <w:start w:val="1"/>
      <w:numFmt w:val="bullet"/>
      <w:lvlText w:val=""/>
      <w:lvlJc w:val="left"/>
      <w:pPr>
        <w:tabs>
          <w:tab w:val="num" w:pos="360"/>
        </w:tabs>
        <w:ind w:left="360" w:hanging="360"/>
      </w:pPr>
      <w:rPr>
        <w:rFonts w:ascii="Symbol" w:hAnsi="Symbol" w:hint="default"/>
        <w:sz w:val="16"/>
      </w:rPr>
    </w:lvl>
  </w:abstractNum>
  <w:abstractNum w:abstractNumId="5" w15:restartNumberingAfterBreak="0">
    <w:nsid w:val="05E01132"/>
    <w:multiLevelType w:val="hybridMultilevel"/>
    <w:tmpl w:val="186640FA"/>
    <w:lvl w:ilvl="0" w:tplc="B1F2399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DDC62A5"/>
    <w:multiLevelType w:val="hybridMultilevel"/>
    <w:tmpl w:val="8CA640CA"/>
    <w:lvl w:ilvl="0" w:tplc="EE8E6636">
      <w:start w:val="1"/>
      <w:numFmt w:val="lowerLetter"/>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7" w15:restartNumberingAfterBreak="0">
    <w:nsid w:val="0FA85625"/>
    <w:multiLevelType w:val="hybridMultilevel"/>
    <w:tmpl w:val="868E821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0D31383"/>
    <w:multiLevelType w:val="hybridMultilevel"/>
    <w:tmpl w:val="4A4A6C0C"/>
    <w:lvl w:ilvl="0" w:tplc="AD2873D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3B538A7"/>
    <w:multiLevelType w:val="hybridMultilevel"/>
    <w:tmpl w:val="6BE010C2"/>
    <w:lvl w:ilvl="0" w:tplc="B596D914">
      <w:numFmt w:val="bullet"/>
      <w:lvlText w:val="-"/>
      <w:lvlJc w:val="left"/>
      <w:pPr>
        <w:ind w:left="819" w:hanging="360"/>
      </w:pPr>
      <w:rPr>
        <w:rFonts w:ascii="Georgia" w:eastAsia="Times New Roman" w:hAnsi="Georgia" w:cs="Arial" w:hint="default"/>
      </w:rPr>
    </w:lvl>
    <w:lvl w:ilvl="1" w:tplc="04100003" w:tentative="1">
      <w:start w:val="1"/>
      <w:numFmt w:val="bullet"/>
      <w:lvlText w:val="o"/>
      <w:lvlJc w:val="left"/>
      <w:pPr>
        <w:ind w:left="1539" w:hanging="360"/>
      </w:pPr>
      <w:rPr>
        <w:rFonts w:ascii="Courier New" w:hAnsi="Courier New" w:cs="Courier New" w:hint="default"/>
      </w:rPr>
    </w:lvl>
    <w:lvl w:ilvl="2" w:tplc="04100005" w:tentative="1">
      <w:start w:val="1"/>
      <w:numFmt w:val="bullet"/>
      <w:lvlText w:val=""/>
      <w:lvlJc w:val="left"/>
      <w:pPr>
        <w:ind w:left="2259" w:hanging="360"/>
      </w:pPr>
      <w:rPr>
        <w:rFonts w:ascii="Wingdings" w:hAnsi="Wingdings" w:hint="default"/>
      </w:rPr>
    </w:lvl>
    <w:lvl w:ilvl="3" w:tplc="04100001" w:tentative="1">
      <w:start w:val="1"/>
      <w:numFmt w:val="bullet"/>
      <w:lvlText w:val=""/>
      <w:lvlJc w:val="left"/>
      <w:pPr>
        <w:ind w:left="2979" w:hanging="360"/>
      </w:pPr>
      <w:rPr>
        <w:rFonts w:ascii="Symbol" w:hAnsi="Symbol" w:hint="default"/>
      </w:rPr>
    </w:lvl>
    <w:lvl w:ilvl="4" w:tplc="04100003" w:tentative="1">
      <w:start w:val="1"/>
      <w:numFmt w:val="bullet"/>
      <w:lvlText w:val="o"/>
      <w:lvlJc w:val="left"/>
      <w:pPr>
        <w:ind w:left="3699" w:hanging="360"/>
      </w:pPr>
      <w:rPr>
        <w:rFonts w:ascii="Courier New" w:hAnsi="Courier New" w:cs="Courier New" w:hint="default"/>
      </w:rPr>
    </w:lvl>
    <w:lvl w:ilvl="5" w:tplc="04100005" w:tentative="1">
      <w:start w:val="1"/>
      <w:numFmt w:val="bullet"/>
      <w:lvlText w:val=""/>
      <w:lvlJc w:val="left"/>
      <w:pPr>
        <w:ind w:left="4419" w:hanging="360"/>
      </w:pPr>
      <w:rPr>
        <w:rFonts w:ascii="Wingdings" w:hAnsi="Wingdings" w:hint="default"/>
      </w:rPr>
    </w:lvl>
    <w:lvl w:ilvl="6" w:tplc="04100001" w:tentative="1">
      <w:start w:val="1"/>
      <w:numFmt w:val="bullet"/>
      <w:lvlText w:val=""/>
      <w:lvlJc w:val="left"/>
      <w:pPr>
        <w:ind w:left="5139" w:hanging="360"/>
      </w:pPr>
      <w:rPr>
        <w:rFonts w:ascii="Symbol" w:hAnsi="Symbol" w:hint="default"/>
      </w:rPr>
    </w:lvl>
    <w:lvl w:ilvl="7" w:tplc="04100003" w:tentative="1">
      <w:start w:val="1"/>
      <w:numFmt w:val="bullet"/>
      <w:lvlText w:val="o"/>
      <w:lvlJc w:val="left"/>
      <w:pPr>
        <w:ind w:left="5859" w:hanging="360"/>
      </w:pPr>
      <w:rPr>
        <w:rFonts w:ascii="Courier New" w:hAnsi="Courier New" w:cs="Courier New" w:hint="default"/>
      </w:rPr>
    </w:lvl>
    <w:lvl w:ilvl="8" w:tplc="04100005" w:tentative="1">
      <w:start w:val="1"/>
      <w:numFmt w:val="bullet"/>
      <w:lvlText w:val=""/>
      <w:lvlJc w:val="left"/>
      <w:pPr>
        <w:ind w:left="6579" w:hanging="360"/>
      </w:pPr>
      <w:rPr>
        <w:rFonts w:ascii="Wingdings" w:hAnsi="Wingdings" w:hint="default"/>
      </w:rPr>
    </w:lvl>
  </w:abstractNum>
  <w:abstractNum w:abstractNumId="10" w15:restartNumberingAfterBreak="0">
    <w:nsid w:val="19D10D11"/>
    <w:multiLevelType w:val="multilevel"/>
    <w:tmpl w:val="F808D8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CAF25C5"/>
    <w:multiLevelType w:val="hybridMultilevel"/>
    <w:tmpl w:val="5434BEB4"/>
    <w:lvl w:ilvl="0" w:tplc="4348AD64">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E3A58BA"/>
    <w:multiLevelType w:val="hybridMultilevel"/>
    <w:tmpl w:val="4524C4A2"/>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F4149C0"/>
    <w:multiLevelType w:val="hybridMultilevel"/>
    <w:tmpl w:val="86B8D4A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02B54A6"/>
    <w:multiLevelType w:val="hybridMultilevel"/>
    <w:tmpl w:val="3FEA5EA8"/>
    <w:lvl w:ilvl="0" w:tplc="22BCD85C">
      <w:start w:val="1"/>
      <w:numFmt w:val="bullet"/>
      <w:lvlText w:val=""/>
      <w:lvlJc w:val="left"/>
      <w:pPr>
        <w:tabs>
          <w:tab w:val="num" w:pos="927"/>
        </w:tabs>
        <w:ind w:left="907" w:hanging="340"/>
      </w:pPr>
      <w:rPr>
        <w:rFonts w:ascii="Symbol" w:hAnsi="Symbol" w:hint="default"/>
        <w:color w:val="0000FF"/>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B5202F"/>
    <w:multiLevelType w:val="hybridMultilevel"/>
    <w:tmpl w:val="C7243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8656789"/>
    <w:multiLevelType w:val="hybridMultilevel"/>
    <w:tmpl w:val="86B0A0D4"/>
    <w:lvl w:ilvl="0" w:tplc="A5624EF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A425270"/>
    <w:multiLevelType w:val="hybridMultilevel"/>
    <w:tmpl w:val="D108C0A8"/>
    <w:lvl w:ilvl="0" w:tplc="7AFE041A">
      <w:start w:val="1"/>
      <w:numFmt w:val="lowerLetter"/>
      <w:lvlText w:val="(%1)"/>
      <w:lvlJc w:val="left"/>
      <w:pPr>
        <w:ind w:left="720" w:hanging="360"/>
      </w:pPr>
      <w:rPr>
        <w:rFonts w:ascii="Arial" w:hAnsi="Arial" w:cs="Arial" w:hint="default"/>
        <w:sz w:val="16"/>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BF63E77"/>
    <w:multiLevelType w:val="singleLevel"/>
    <w:tmpl w:val="420A0C84"/>
    <w:lvl w:ilvl="0">
      <w:start w:val="1"/>
      <w:numFmt w:val="upperLetter"/>
      <w:lvlText w:val="%1)"/>
      <w:lvlJc w:val="left"/>
      <w:pPr>
        <w:tabs>
          <w:tab w:val="num" w:pos="928"/>
        </w:tabs>
        <w:ind w:left="851" w:hanging="283"/>
      </w:pPr>
      <w:rPr>
        <w:caps w:val="0"/>
      </w:rPr>
    </w:lvl>
  </w:abstractNum>
  <w:abstractNum w:abstractNumId="19" w15:restartNumberingAfterBreak="0">
    <w:nsid w:val="2E150D0C"/>
    <w:multiLevelType w:val="hybridMultilevel"/>
    <w:tmpl w:val="6BB67F90"/>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2E273988"/>
    <w:multiLevelType w:val="multilevel"/>
    <w:tmpl w:val="9932B388"/>
    <w:lvl w:ilvl="0">
      <w:start w:val="3"/>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5A10F89"/>
    <w:multiLevelType w:val="hybridMultilevel"/>
    <w:tmpl w:val="88A831C6"/>
    <w:lvl w:ilvl="0" w:tplc="BC8246E8">
      <w:numFmt w:val="bullet"/>
      <w:lvlText w:val="-"/>
      <w:lvlJc w:val="left"/>
      <w:pPr>
        <w:ind w:left="720" w:hanging="360"/>
      </w:pPr>
      <w:rPr>
        <w:rFonts w:ascii="Arial" w:eastAsia="Times New Roman" w:hAnsi="Arial" w:cs="Arial" w:hint="default"/>
        <w:b/>
        <w:i/>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A8671C8"/>
    <w:multiLevelType w:val="singleLevel"/>
    <w:tmpl w:val="6024B9BE"/>
    <w:lvl w:ilvl="0">
      <w:start w:val="1"/>
      <w:numFmt w:val="bullet"/>
      <w:lvlText w:val=""/>
      <w:lvlJc w:val="left"/>
      <w:pPr>
        <w:tabs>
          <w:tab w:val="num" w:pos="360"/>
        </w:tabs>
        <w:ind w:left="360" w:hanging="360"/>
      </w:pPr>
      <w:rPr>
        <w:rFonts w:ascii="Symbol" w:hAnsi="Symbol" w:hint="default"/>
        <w:sz w:val="16"/>
      </w:rPr>
    </w:lvl>
  </w:abstractNum>
  <w:abstractNum w:abstractNumId="23" w15:restartNumberingAfterBreak="0">
    <w:nsid w:val="3D496AFD"/>
    <w:multiLevelType w:val="hybridMultilevel"/>
    <w:tmpl w:val="68C25B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E086CA2"/>
    <w:multiLevelType w:val="singleLevel"/>
    <w:tmpl w:val="9F5AE01E"/>
    <w:lvl w:ilvl="0">
      <w:start w:val="1"/>
      <w:numFmt w:val="lowerLetter"/>
      <w:lvlText w:val="(%1)"/>
      <w:lvlJc w:val="left"/>
      <w:pPr>
        <w:tabs>
          <w:tab w:val="num" w:pos="360"/>
        </w:tabs>
        <w:ind w:left="360" w:hanging="360"/>
      </w:pPr>
      <w:rPr>
        <w:rFonts w:hint="default"/>
      </w:rPr>
    </w:lvl>
  </w:abstractNum>
  <w:abstractNum w:abstractNumId="25" w15:restartNumberingAfterBreak="0">
    <w:nsid w:val="4001217C"/>
    <w:multiLevelType w:val="hybridMultilevel"/>
    <w:tmpl w:val="4B3EFEC4"/>
    <w:lvl w:ilvl="0" w:tplc="05D2A2E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0D7281B"/>
    <w:multiLevelType w:val="singleLevel"/>
    <w:tmpl w:val="04100011"/>
    <w:lvl w:ilvl="0">
      <w:start w:val="2"/>
      <w:numFmt w:val="decimal"/>
      <w:lvlText w:val="%1)"/>
      <w:lvlJc w:val="left"/>
      <w:pPr>
        <w:tabs>
          <w:tab w:val="num" w:pos="360"/>
        </w:tabs>
        <w:ind w:left="360" w:hanging="360"/>
      </w:pPr>
      <w:rPr>
        <w:rFonts w:hint="default"/>
      </w:rPr>
    </w:lvl>
  </w:abstractNum>
  <w:abstractNum w:abstractNumId="27" w15:restartNumberingAfterBreak="0">
    <w:nsid w:val="45C01D52"/>
    <w:multiLevelType w:val="multilevel"/>
    <w:tmpl w:val="317CE4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62650C8"/>
    <w:multiLevelType w:val="hybridMultilevel"/>
    <w:tmpl w:val="77C2ACC6"/>
    <w:lvl w:ilvl="0" w:tplc="0D7A4188">
      <w:numFmt w:val="bullet"/>
      <w:lvlText w:val="-"/>
      <w:lvlJc w:val="left"/>
      <w:pPr>
        <w:ind w:left="720" w:hanging="360"/>
      </w:pPr>
      <w:rPr>
        <w:rFonts w:ascii="Calibri" w:eastAsia="Arial"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A2357D9"/>
    <w:multiLevelType w:val="hybridMultilevel"/>
    <w:tmpl w:val="9FE2225E"/>
    <w:lvl w:ilvl="0" w:tplc="A97C9A28">
      <w:numFmt w:val="bullet"/>
      <w:lvlText w:val="•"/>
      <w:lvlJc w:val="left"/>
      <w:pPr>
        <w:ind w:left="1065" w:hanging="705"/>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FD55255"/>
    <w:multiLevelType w:val="hybridMultilevel"/>
    <w:tmpl w:val="E9F29EC4"/>
    <w:lvl w:ilvl="0" w:tplc="6614960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5880CBF"/>
    <w:multiLevelType w:val="hybridMultilevel"/>
    <w:tmpl w:val="5FA2435A"/>
    <w:lvl w:ilvl="0" w:tplc="589A88D0">
      <w:numFmt w:val="bullet"/>
      <w:lvlText w:val=""/>
      <w:lvlJc w:val="left"/>
      <w:pPr>
        <w:tabs>
          <w:tab w:val="num" w:pos="357"/>
        </w:tabs>
        <w:ind w:left="0" w:firstLine="0"/>
      </w:pPr>
      <w:rPr>
        <w:rFonts w:ascii="Wingdings" w:eastAsia="Times New Roman" w:hAnsi="Wingdings" w:cs="Arial" w:hint="default"/>
        <w:color w:val="003366"/>
        <w:sz w:val="24"/>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BA32A8"/>
    <w:multiLevelType w:val="hybridMultilevel"/>
    <w:tmpl w:val="273EDA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DFC5A30"/>
    <w:multiLevelType w:val="hybridMultilevel"/>
    <w:tmpl w:val="58E49CD6"/>
    <w:lvl w:ilvl="0" w:tplc="C644C05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12167A3"/>
    <w:multiLevelType w:val="hybridMultilevel"/>
    <w:tmpl w:val="3BFEF492"/>
    <w:lvl w:ilvl="0" w:tplc="5A64052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5D7286F"/>
    <w:multiLevelType w:val="hybridMultilevel"/>
    <w:tmpl w:val="70F26E48"/>
    <w:lvl w:ilvl="0" w:tplc="49CEC01C">
      <w:start w:val="1"/>
      <w:numFmt w:val="lowerLetter"/>
      <w:lvlText w:val="(%1)"/>
      <w:lvlJc w:val="left"/>
      <w:pPr>
        <w:ind w:left="2345" w:hanging="360"/>
      </w:pPr>
      <w:rPr>
        <w:rFonts w:hint="default"/>
      </w:rPr>
    </w:lvl>
    <w:lvl w:ilvl="1" w:tplc="04100019" w:tentative="1">
      <w:start w:val="1"/>
      <w:numFmt w:val="lowerLetter"/>
      <w:lvlText w:val="%2."/>
      <w:lvlJc w:val="left"/>
      <w:pPr>
        <w:ind w:left="3065" w:hanging="360"/>
      </w:pPr>
    </w:lvl>
    <w:lvl w:ilvl="2" w:tplc="0410001B" w:tentative="1">
      <w:start w:val="1"/>
      <w:numFmt w:val="lowerRoman"/>
      <w:lvlText w:val="%3."/>
      <w:lvlJc w:val="right"/>
      <w:pPr>
        <w:ind w:left="3785" w:hanging="180"/>
      </w:pPr>
    </w:lvl>
    <w:lvl w:ilvl="3" w:tplc="0410000F" w:tentative="1">
      <w:start w:val="1"/>
      <w:numFmt w:val="decimal"/>
      <w:lvlText w:val="%4."/>
      <w:lvlJc w:val="left"/>
      <w:pPr>
        <w:ind w:left="4505" w:hanging="360"/>
      </w:pPr>
    </w:lvl>
    <w:lvl w:ilvl="4" w:tplc="04100019" w:tentative="1">
      <w:start w:val="1"/>
      <w:numFmt w:val="lowerLetter"/>
      <w:lvlText w:val="%5."/>
      <w:lvlJc w:val="left"/>
      <w:pPr>
        <w:ind w:left="5225" w:hanging="360"/>
      </w:pPr>
    </w:lvl>
    <w:lvl w:ilvl="5" w:tplc="0410001B" w:tentative="1">
      <w:start w:val="1"/>
      <w:numFmt w:val="lowerRoman"/>
      <w:lvlText w:val="%6."/>
      <w:lvlJc w:val="right"/>
      <w:pPr>
        <w:ind w:left="5945" w:hanging="180"/>
      </w:pPr>
    </w:lvl>
    <w:lvl w:ilvl="6" w:tplc="0410000F" w:tentative="1">
      <w:start w:val="1"/>
      <w:numFmt w:val="decimal"/>
      <w:lvlText w:val="%7."/>
      <w:lvlJc w:val="left"/>
      <w:pPr>
        <w:ind w:left="6665" w:hanging="360"/>
      </w:pPr>
    </w:lvl>
    <w:lvl w:ilvl="7" w:tplc="04100019" w:tentative="1">
      <w:start w:val="1"/>
      <w:numFmt w:val="lowerLetter"/>
      <w:lvlText w:val="%8."/>
      <w:lvlJc w:val="left"/>
      <w:pPr>
        <w:ind w:left="7385" w:hanging="360"/>
      </w:pPr>
    </w:lvl>
    <w:lvl w:ilvl="8" w:tplc="0410001B" w:tentative="1">
      <w:start w:val="1"/>
      <w:numFmt w:val="lowerRoman"/>
      <w:lvlText w:val="%9."/>
      <w:lvlJc w:val="right"/>
      <w:pPr>
        <w:ind w:left="8105" w:hanging="180"/>
      </w:pPr>
    </w:lvl>
  </w:abstractNum>
  <w:abstractNum w:abstractNumId="36" w15:restartNumberingAfterBreak="0">
    <w:nsid w:val="67811527"/>
    <w:multiLevelType w:val="hybridMultilevel"/>
    <w:tmpl w:val="3946BE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9647D7B"/>
    <w:multiLevelType w:val="hybridMultilevel"/>
    <w:tmpl w:val="79621420"/>
    <w:lvl w:ilvl="0" w:tplc="C63EB7B6">
      <w:numFmt w:val="bullet"/>
      <w:lvlText w:val="-"/>
      <w:lvlJc w:val="left"/>
      <w:pPr>
        <w:ind w:left="2628" w:hanging="501"/>
      </w:pPr>
      <w:rPr>
        <w:rFonts w:ascii="Arial" w:eastAsia="Times New Roman" w:hAnsi="Arial" w:cs="Arial" w:hint="default"/>
      </w:rPr>
    </w:lvl>
    <w:lvl w:ilvl="1" w:tplc="04100003" w:tentative="1">
      <w:start w:val="1"/>
      <w:numFmt w:val="bullet"/>
      <w:lvlText w:val="o"/>
      <w:lvlJc w:val="left"/>
      <w:pPr>
        <w:ind w:left="3207" w:hanging="360"/>
      </w:pPr>
      <w:rPr>
        <w:rFonts w:ascii="Courier New" w:hAnsi="Courier New" w:cs="Courier New" w:hint="default"/>
      </w:rPr>
    </w:lvl>
    <w:lvl w:ilvl="2" w:tplc="04100005" w:tentative="1">
      <w:start w:val="1"/>
      <w:numFmt w:val="bullet"/>
      <w:lvlText w:val=""/>
      <w:lvlJc w:val="left"/>
      <w:pPr>
        <w:ind w:left="3927" w:hanging="360"/>
      </w:pPr>
      <w:rPr>
        <w:rFonts w:ascii="Wingdings" w:hAnsi="Wingdings" w:hint="default"/>
      </w:rPr>
    </w:lvl>
    <w:lvl w:ilvl="3" w:tplc="04100001" w:tentative="1">
      <w:start w:val="1"/>
      <w:numFmt w:val="bullet"/>
      <w:lvlText w:val=""/>
      <w:lvlJc w:val="left"/>
      <w:pPr>
        <w:ind w:left="4647" w:hanging="360"/>
      </w:pPr>
      <w:rPr>
        <w:rFonts w:ascii="Symbol" w:hAnsi="Symbol" w:hint="default"/>
      </w:rPr>
    </w:lvl>
    <w:lvl w:ilvl="4" w:tplc="04100003" w:tentative="1">
      <w:start w:val="1"/>
      <w:numFmt w:val="bullet"/>
      <w:lvlText w:val="o"/>
      <w:lvlJc w:val="left"/>
      <w:pPr>
        <w:ind w:left="5367" w:hanging="360"/>
      </w:pPr>
      <w:rPr>
        <w:rFonts w:ascii="Courier New" w:hAnsi="Courier New" w:cs="Courier New" w:hint="default"/>
      </w:rPr>
    </w:lvl>
    <w:lvl w:ilvl="5" w:tplc="04100005" w:tentative="1">
      <w:start w:val="1"/>
      <w:numFmt w:val="bullet"/>
      <w:lvlText w:val=""/>
      <w:lvlJc w:val="left"/>
      <w:pPr>
        <w:ind w:left="6087" w:hanging="360"/>
      </w:pPr>
      <w:rPr>
        <w:rFonts w:ascii="Wingdings" w:hAnsi="Wingdings" w:hint="default"/>
      </w:rPr>
    </w:lvl>
    <w:lvl w:ilvl="6" w:tplc="04100001" w:tentative="1">
      <w:start w:val="1"/>
      <w:numFmt w:val="bullet"/>
      <w:lvlText w:val=""/>
      <w:lvlJc w:val="left"/>
      <w:pPr>
        <w:ind w:left="6807" w:hanging="360"/>
      </w:pPr>
      <w:rPr>
        <w:rFonts w:ascii="Symbol" w:hAnsi="Symbol" w:hint="default"/>
      </w:rPr>
    </w:lvl>
    <w:lvl w:ilvl="7" w:tplc="04100003" w:tentative="1">
      <w:start w:val="1"/>
      <w:numFmt w:val="bullet"/>
      <w:lvlText w:val="o"/>
      <w:lvlJc w:val="left"/>
      <w:pPr>
        <w:ind w:left="7527" w:hanging="360"/>
      </w:pPr>
      <w:rPr>
        <w:rFonts w:ascii="Courier New" w:hAnsi="Courier New" w:cs="Courier New" w:hint="default"/>
      </w:rPr>
    </w:lvl>
    <w:lvl w:ilvl="8" w:tplc="04100005" w:tentative="1">
      <w:start w:val="1"/>
      <w:numFmt w:val="bullet"/>
      <w:lvlText w:val=""/>
      <w:lvlJc w:val="left"/>
      <w:pPr>
        <w:ind w:left="8247" w:hanging="360"/>
      </w:pPr>
      <w:rPr>
        <w:rFonts w:ascii="Wingdings" w:hAnsi="Wingdings" w:hint="default"/>
      </w:rPr>
    </w:lvl>
  </w:abstractNum>
  <w:abstractNum w:abstractNumId="38" w15:restartNumberingAfterBreak="0">
    <w:nsid w:val="70460762"/>
    <w:multiLevelType w:val="hybridMultilevel"/>
    <w:tmpl w:val="1BA4A700"/>
    <w:lvl w:ilvl="0" w:tplc="0D2465D0">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D2465D0">
      <w:start w:val="3"/>
      <w:numFmt w:val="bullet"/>
      <w:lvlText w:val="-"/>
      <w:lvlJc w:val="left"/>
      <w:pPr>
        <w:ind w:left="2880" w:hanging="360"/>
      </w:pPr>
      <w:rPr>
        <w:rFonts w:ascii="Arial" w:eastAsia="Times New Roman" w:hAnsi="Arial" w:cs="Aria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1F17F47"/>
    <w:multiLevelType w:val="hybridMultilevel"/>
    <w:tmpl w:val="7DBAAF3A"/>
    <w:lvl w:ilvl="0" w:tplc="0D2465D0">
      <w:start w:val="3"/>
      <w:numFmt w:val="bullet"/>
      <w:lvlText w:val="-"/>
      <w:lvlJc w:val="left"/>
      <w:pPr>
        <w:ind w:left="2203" w:hanging="360"/>
      </w:pPr>
      <w:rPr>
        <w:rFonts w:ascii="Arial" w:eastAsia="Times New Roman" w:hAnsi="Arial" w:cs="Arial" w:hint="default"/>
      </w:rPr>
    </w:lvl>
    <w:lvl w:ilvl="1" w:tplc="04100003" w:tentative="1">
      <w:start w:val="1"/>
      <w:numFmt w:val="bullet"/>
      <w:lvlText w:val="o"/>
      <w:lvlJc w:val="left"/>
      <w:pPr>
        <w:ind w:left="2923" w:hanging="360"/>
      </w:pPr>
      <w:rPr>
        <w:rFonts w:ascii="Courier New" w:hAnsi="Courier New" w:cs="Courier New" w:hint="default"/>
      </w:rPr>
    </w:lvl>
    <w:lvl w:ilvl="2" w:tplc="04100005" w:tentative="1">
      <w:start w:val="1"/>
      <w:numFmt w:val="bullet"/>
      <w:lvlText w:val=""/>
      <w:lvlJc w:val="left"/>
      <w:pPr>
        <w:ind w:left="3643" w:hanging="360"/>
      </w:pPr>
      <w:rPr>
        <w:rFonts w:ascii="Wingdings" w:hAnsi="Wingdings" w:hint="default"/>
      </w:rPr>
    </w:lvl>
    <w:lvl w:ilvl="3" w:tplc="04100001" w:tentative="1">
      <w:start w:val="1"/>
      <w:numFmt w:val="bullet"/>
      <w:lvlText w:val=""/>
      <w:lvlJc w:val="left"/>
      <w:pPr>
        <w:ind w:left="4363" w:hanging="360"/>
      </w:pPr>
      <w:rPr>
        <w:rFonts w:ascii="Symbol" w:hAnsi="Symbol" w:hint="default"/>
      </w:rPr>
    </w:lvl>
    <w:lvl w:ilvl="4" w:tplc="04100003" w:tentative="1">
      <w:start w:val="1"/>
      <w:numFmt w:val="bullet"/>
      <w:lvlText w:val="o"/>
      <w:lvlJc w:val="left"/>
      <w:pPr>
        <w:ind w:left="5083" w:hanging="360"/>
      </w:pPr>
      <w:rPr>
        <w:rFonts w:ascii="Courier New" w:hAnsi="Courier New" w:cs="Courier New" w:hint="default"/>
      </w:rPr>
    </w:lvl>
    <w:lvl w:ilvl="5" w:tplc="04100005" w:tentative="1">
      <w:start w:val="1"/>
      <w:numFmt w:val="bullet"/>
      <w:lvlText w:val=""/>
      <w:lvlJc w:val="left"/>
      <w:pPr>
        <w:ind w:left="5803" w:hanging="360"/>
      </w:pPr>
      <w:rPr>
        <w:rFonts w:ascii="Wingdings" w:hAnsi="Wingdings" w:hint="default"/>
      </w:rPr>
    </w:lvl>
    <w:lvl w:ilvl="6" w:tplc="04100001" w:tentative="1">
      <w:start w:val="1"/>
      <w:numFmt w:val="bullet"/>
      <w:lvlText w:val=""/>
      <w:lvlJc w:val="left"/>
      <w:pPr>
        <w:ind w:left="6523" w:hanging="360"/>
      </w:pPr>
      <w:rPr>
        <w:rFonts w:ascii="Symbol" w:hAnsi="Symbol" w:hint="default"/>
      </w:rPr>
    </w:lvl>
    <w:lvl w:ilvl="7" w:tplc="04100003" w:tentative="1">
      <w:start w:val="1"/>
      <w:numFmt w:val="bullet"/>
      <w:lvlText w:val="o"/>
      <w:lvlJc w:val="left"/>
      <w:pPr>
        <w:ind w:left="7243" w:hanging="360"/>
      </w:pPr>
      <w:rPr>
        <w:rFonts w:ascii="Courier New" w:hAnsi="Courier New" w:cs="Courier New" w:hint="default"/>
      </w:rPr>
    </w:lvl>
    <w:lvl w:ilvl="8" w:tplc="04100005" w:tentative="1">
      <w:start w:val="1"/>
      <w:numFmt w:val="bullet"/>
      <w:lvlText w:val=""/>
      <w:lvlJc w:val="left"/>
      <w:pPr>
        <w:ind w:left="7963" w:hanging="360"/>
      </w:pPr>
      <w:rPr>
        <w:rFonts w:ascii="Wingdings" w:hAnsi="Wingdings" w:hint="default"/>
      </w:rPr>
    </w:lvl>
  </w:abstractNum>
  <w:abstractNum w:abstractNumId="40" w15:restartNumberingAfterBreak="0">
    <w:nsid w:val="73EC7909"/>
    <w:multiLevelType w:val="hybridMultilevel"/>
    <w:tmpl w:val="64687A8A"/>
    <w:lvl w:ilvl="0" w:tplc="A21EE1FE">
      <w:numFmt w:val="bullet"/>
      <w:lvlText w:val="-"/>
      <w:lvlJc w:val="left"/>
      <w:pPr>
        <w:ind w:left="2487" w:hanging="360"/>
      </w:pPr>
      <w:rPr>
        <w:rFonts w:ascii="Arial" w:eastAsia="Times New Roman" w:hAnsi="Arial" w:cs="Arial" w:hint="default"/>
      </w:rPr>
    </w:lvl>
    <w:lvl w:ilvl="1" w:tplc="04100003" w:tentative="1">
      <w:start w:val="1"/>
      <w:numFmt w:val="bullet"/>
      <w:lvlText w:val="o"/>
      <w:lvlJc w:val="left"/>
      <w:pPr>
        <w:ind w:left="3207" w:hanging="360"/>
      </w:pPr>
      <w:rPr>
        <w:rFonts w:ascii="Courier New" w:hAnsi="Courier New" w:cs="Courier New" w:hint="default"/>
      </w:rPr>
    </w:lvl>
    <w:lvl w:ilvl="2" w:tplc="04100005" w:tentative="1">
      <w:start w:val="1"/>
      <w:numFmt w:val="bullet"/>
      <w:lvlText w:val=""/>
      <w:lvlJc w:val="left"/>
      <w:pPr>
        <w:ind w:left="3927" w:hanging="360"/>
      </w:pPr>
      <w:rPr>
        <w:rFonts w:ascii="Wingdings" w:hAnsi="Wingdings" w:hint="default"/>
      </w:rPr>
    </w:lvl>
    <w:lvl w:ilvl="3" w:tplc="04100001" w:tentative="1">
      <w:start w:val="1"/>
      <w:numFmt w:val="bullet"/>
      <w:lvlText w:val=""/>
      <w:lvlJc w:val="left"/>
      <w:pPr>
        <w:ind w:left="4647" w:hanging="360"/>
      </w:pPr>
      <w:rPr>
        <w:rFonts w:ascii="Symbol" w:hAnsi="Symbol" w:hint="default"/>
      </w:rPr>
    </w:lvl>
    <w:lvl w:ilvl="4" w:tplc="04100003" w:tentative="1">
      <w:start w:val="1"/>
      <w:numFmt w:val="bullet"/>
      <w:lvlText w:val="o"/>
      <w:lvlJc w:val="left"/>
      <w:pPr>
        <w:ind w:left="5367" w:hanging="360"/>
      </w:pPr>
      <w:rPr>
        <w:rFonts w:ascii="Courier New" w:hAnsi="Courier New" w:cs="Courier New" w:hint="default"/>
      </w:rPr>
    </w:lvl>
    <w:lvl w:ilvl="5" w:tplc="04100005" w:tentative="1">
      <w:start w:val="1"/>
      <w:numFmt w:val="bullet"/>
      <w:lvlText w:val=""/>
      <w:lvlJc w:val="left"/>
      <w:pPr>
        <w:ind w:left="6087" w:hanging="360"/>
      </w:pPr>
      <w:rPr>
        <w:rFonts w:ascii="Wingdings" w:hAnsi="Wingdings" w:hint="default"/>
      </w:rPr>
    </w:lvl>
    <w:lvl w:ilvl="6" w:tplc="04100001" w:tentative="1">
      <w:start w:val="1"/>
      <w:numFmt w:val="bullet"/>
      <w:lvlText w:val=""/>
      <w:lvlJc w:val="left"/>
      <w:pPr>
        <w:ind w:left="6807" w:hanging="360"/>
      </w:pPr>
      <w:rPr>
        <w:rFonts w:ascii="Symbol" w:hAnsi="Symbol" w:hint="default"/>
      </w:rPr>
    </w:lvl>
    <w:lvl w:ilvl="7" w:tplc="04100003" w:tentative="1">
      <w:start w:val="1"/>
      <w:numFmt w:val="bullet"/>
      <w:lvlText w:val="o"/>
      <w:lvlJc w:val="left"/>
      <w:pPr>
        <w:ind w:left="7527" w:hanging="360"/>
      </w:pPr>
      <w:rPr>
        <w:rFonts w:ascii="Courier New" w:hAnsi="Courier New" w:cs="Courier New" w:hint="default"/>
      </w:rPr>
    </w:lvl>
    <w:lvl w:ilvl="8" w:tplc="04100005" w:tentative="1">
      <w:start w:val="1"/>
      <w:numFmt w:val="bullet"/>
      <w:lvlText w:val=""/>
      <w:lvlJc w:val="left"/>
      <w:pPr>
        <w:ind w:left="8247" w:hanging="360"/>
      </w:pPr>
      <w:rPr>
        <w:rFonts w:ascii="Wingdings" w:hAnsi="Wingdings" w:hint="default"/>
      </w:rPr>
    </w:lvl>
  </w:abstractNum>
  <w:abstractNum w:abstractNumId="41" w15:restartNumberingAfterBreak="0">
    <w:nsid w:val="771112DD"/>
    <w:multiLevelType w:val="singleLevel"/>
    <w:tmpl w:val="1F2E9C12"/>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A3629A7"/>
    <w:multiLevelType w:val="multilevel"/>
    <w:tmpl w:val="DDE093A8"/>
    <w:lvl w:ilvl="0">
      <w:start w:val="1"/>
      <w:numFmt w:val="decimal"/>
      <w:lvlText w:val="%1."/>
      <w:lvlJc w:val="left"/>
      <w:pPr>
        <w:ind w:left="2174" w:hanging="360"/>
      </w:pPr>
      <w:rPr>
        <w:rFonts w:hint="default"/>
      </w:rPr>
    </w:lvl>
    <w:lvl w:ilvl="1">
      <w:start w:val="3"/>
      <w:numFmt w:val="decimal"/>
      <w:isLgl/>
      <w:lvlText w:val="%1.%2"/>
      <w:lvlJc w:val="left"/>
      <w:pPr>
        <w:ind w:left="2203" w:hanging="360"/>
      </w:pPr>
      <w:rPr>
        <w:rFonts w:hint="default"/>
      </w:rPr>
    </w:lvl>
    <w:lvl w:ilvl="2">
      <w:start w:val="1"/>
      <w:numFmt w:val="decimal"/>
      <w:isLgl/>
      <w:lvlText w:val="%1.%2.%3"/>
      <w:lvlJc w:val="left"/>
      <w:pPr>
        <w:ind w:left="2592" w:hanging="720"/>
      </w:pPr>
      <w:rPr>
        <w:rFonts w:hint="default"/>
      </w:rPr>
    </w:lvl>
    <w:lvl w:ilvl="3">
      <w:start w:val="1"/>
      <w:numFmt w:val="decimal"/>
      <w:isLgl/>
      <w:lvlText w:val="%1.%2.%3.%4"/>
      <w:lvlJc w:val="left"/>
      <w:pPr>
        <w:ind w:left="2621" w:hanging="720"/>
      </w:pPr>
      <w:rPr>
        <w:rFonts w:hint="default"/>
      </w:rPr>
    </w:lvl>
    <w:lvl w:ilvl="4">
      <w:start w:val="1"/>
      <w:numFmt w:val="decimal"/>
      <w:isLgl/>
      <w:lvlText w:val="%1.%2.%3.%4.%5"/>
      <w:lvlJc w:val="left"/>
      <w:pPr>
        <w:ind w:left="3010" w:hanging="1080"/>
      </w:pPr>
      <w:rPr>
        <w:rFonts w:hint="default"/>
      </w:rPr>
    </w:lvl>
    <w:lvl w:ilvl="5">
      <w:start w:val="1"/>
      <w:numFmt w:val="decimal"/>
      <w:isLgl/>
      <w:lvlText w:val="%1.%2.%3.%4.%5.%6"/>
      <w:lvlJc w:val="left"/>
      <w:pPr>
        <w:ind w:left="3039" w:hanging="1080"/>
      </w:pPr>
      <w:rPr>
        <w:rFonts w:hint="default"/>
      </w:rPr>
    </w:lvl>
    <w:lvl w:ilvl="6">
      <w:start w:val="1"/>
      <w:numFmt w:val="decimal"/>
      <w:isLgl/>
      <w:lvlText w:val="%1.%2.%3.%4.%5.%6.%7"/>
      <w:lvlJc w:val="left"/>
      <w:pPr>
        <w:ind w:left="3428" w:hanging="1440"/>
      </w:pPr>
      <w:rPr>
        <w:rFonts w:hint="default"/>
      </w:rPr>
    </w:lvl>
    <w:lvl w:ilvl="7">
      <w:start w:val="1"/>
      <w:numFmt w:val="decimal"/>
      <w:isLgl/>
      <w:lvlText w:val="%1.%2.%3.%4.%5.%6.%7.%8"/>
      <w:lvlJc w:val="left"/>
      <w:pPr>
        <w:ind w:left="3457" w:hanging="1440"/>
      </w:pPr>
      <w:rPr>
        <w:rFonts w:hint="default"/>
      </w:rPr>
    </w:lvl>
    <w:lvl w:ilvl="8">
      <w:start w:val="1"/>
      <w:numFmt w:val="decimal"/>
      <w:isLgl/>
      <w:lvlText w:val="%1.%2.%3.%4.%5.%6.%7.%8.%9"/>
      <w:lvlJc w:val="left"/>
      <w:pPr>
        <w:ind w:left="3846" w:hanging="1800"/>
      </w:pPr>
      <w:rPr>
        <w:rFonts w:hint="default"/>
      </w:rPr>
    </w:lvl>
  </w:abstractNum>
  <w:num w:numId="1">
    <w:abstractNumId w:val="9"/>
  </w:num>
  <w:num w:numId="2">
    <w:abstractNumId w:val="33"/>
  </w:num>
  <w:num w:numId="3">
    <w:abstractNumId w:val="8"/>
  </w:num>
  <w:num w:numId="4">
    <w:abstractNumId w:val="25"/>
  </w:num>
  <w:num w:numId="5">
    <w:abstractNumId w:val="30"/>
  </w:num>
  <w:num w:numId="6">
    <w:abstractNumId w:val="27"/>
  </w:num>
  <w:num w:numId="7">
    <w:abstractNumId w:val="10"/>
  </w:num>
  <w:num w:numId="8">
    <w:abstractNumId w:val="28"/>
  </w:num>
  <w:num w:numId="9">
    <w:abstractNumId w:val="5"/>
  </w:num>
  <w:num w:numId="10">
    <w:abstractNumId w:val="16"/>
  </w:num>
  <w:num w:numId="11">
    <w:abstractNumId w:val="19"/>
  </w:num>
  <w:num w:numId="12">
    <w:abstractNumId w:val="14"/>
  </w:num>
  <w:num w:numId="13">
    <w:abstractNumId w:val="31"/>
  </w:num>
  <w:num w:numId="14">
    <w:abstractNumId w:val="0"/>
  </w:num>
  <w:num w:numId="15">
    <w:abstractNumId w:val="40"/>
  </w:num>
  <w:num w:numId="16">
    <w:abstractNumId w:val="39"/>
  </w:num>
  <w:num w:numId="17">
    <w:abstractNumId w:val="35"/>
  </w:num>
  <w:num w:numId="18">
    <w:abstractNumId w:val="18"/>
  </w:num>
  <w:num w:numId="19">
    <w:abstractNumId w:val="22"/>
  </w:num>
  <w:num w:numId="20">
    <w:abstractNumId w:val="4"/>
  </w:num>
  <w:num w:numId="21">
    <w:abstractNumId w:val="41"/>
  </w:num>
  <w:num w:numId="22">
    <w:abstractNumId w:val="26"/>
  </w:num>
  <w:num w:numId="23">
    <w:abstractNumId w:val="24"/>
  </w:num>
  <w:num w:numId="24">
    <w:abstractNumId w:val="20"/>
  </w:num>
  <w:num w:numId="25">
    <w:abstractNumId w:val="42"/>
  </w:num>
  <w:num w:numId="26">
    <w:abstractNumId w:val="6"/>
  </w:num>
  <w:num w:numId="27">
    <w:abstractNumId w:val="38"/>
  </w:num>
  <w:num w:numId="28">
    <w:abstractNumId w:val="37"/>
  </w:num>
  <w:num w:numId="29">
    <w:abstractNumId w:val="32"/>
  </w:num>
  <w:num w:numId="30">
    <w:abstractNumId w:val="1"/>
  </w:num>
  <w:num w:numId="31">
    <w:abstractNumId w:val="7"/>
  </w:num>
  <w:num w:numId="32">
    <w:abstractNumId w:val="21"/>
  </w:num>
  <w:num w:numId="33">
    <w:abstractNumId w:val="34"/>
  </w:num>
  <w:num w:numId="34">
    <w:abstractNumId w:val="3"/>
  </w:num>
  <w:num w:numId="35">
    <w:abstractNumId w:val="17"/>
  </w:num>
  <w:num w:numId="36">
    <w:abstractNumId w:val="11"/>
  </w:num>
  <w:num w:numId="37">
    <w:abstractNumId w:val="2"/>
  </w:num>
  <w:num w:numId="38">
    <w:abstractNumId w:val="29"/>
  </w:num>
  <w:num w:numId="39">
    <w:abstractNumId w:val="15"/>
  </w:num>
  <w:num w:numId="40">
    <w:abstractNumId w:val="36"/>
  </w:num>
  <w:num w:numId="41">
    <w:abstractNumId w:val="23"/>
  </w:num>
  <w:num w:numId="42">
    <w:abstractNumId w:val="13"/>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it-IT" w:vendorID="64" w:dllVersion="4096" w:nlCheck="1" w:checkStyle="0"/>
  <w:activeWritingStyle w:appName="MSWord" w:lang="it-IT" w:vendorID="64" w:dllVersion="0" w:nlCheck="1" w:checkStyle="0"/>
  <w:activeWritingStyle w:appName="MSWord" w:lang="en-US" w:vendorID="64" w:dllVersion="0" w:nlCheck="1" w:checkStyle="0"/>
  <w:activeWritingStyle w:appName="MSWord" w:lang="en-US" w:vendorID="64" w:dllVersion="6" w:nlCheck="1" w:checkStyle="1"/>
  <w:activeWritingStyle w:appName="MSWord" w:lang="it-IT"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4FF"/>
    <w:rsid w:val="00000DE6"/>
    <w:rsid w:val="00001763"/>
    <w:rsid w:val="000020C7"/>
    <w:rsid w:val="00002177"/>
    <w:rsid w:val="0000396F"/>
    <w:rsid w:val="000042EB"/>
    <w:rsid w:val="000052E6"/>
    <w:rsid w:val="000061C4"/>
    <w:rsid w:val="00006699"/>
    <w:rsid w:val="00006D10"/>
    <w:rsid w:val="00007066"/>
    <w:rsid w:val="0000734C"/>
    <w:rsid w:val="000075FC"/>
    <w:rsid w:val="0000784B"/>
    <w:rsid w:val="00007F49"/>
    <w:rsid w:val="00010170"/>
    <w:rsid w:val="00011037"/>
    <w:rsid w:val="00014299"/>
    <w:rsid w:val="00014F90"/>
    <w:rsid w:val="0001544F"/>
    <w:rsid w:val="00015D71"/>
    <w:rsid w:val="00016F4D"/>
    <w:rsid w:val="0001738B"/>
    <w:rsid w:val="00022348"/>
    <w:rsid w:val="000226C0"/>
    <w:rsid w:val="00023B4F"/>
    <w:rsid w:val="0002428F"/>
    <w:rsid w:val="0002505D"/>
    <w:rsid w:val="00025711"/>
    <w:rsid w:val="00025ED7"/>
    <w:rsid w:val="0003035B"/>
    <w:rsid w:val="00030D17"/>
    <w:rsid w:val="00031115"/>
    <w:rsid w:val="0003264F"/>
    <w:rsid w:val="00032672"/>
    <w:rsid w:val="0003298F"/>
    <w:rsid w:val="00033F2B"/>
    <w:rsid w:val="000343A2"/>
    <w:rsid w:val="00034BE7"/>
    <w:rsid w:val="00035516"/>
    <w:rsid w:val="00036154"/>
    <w:rsid w:val="00036548"/>
    <w:rsid w:val="00040A41"/>
    <w:rsid w:val="0004131D"/>
    <w:rsid w:val="00041DC5"/>
    <w:rsid w:val="000425AA"/>
    <w:rsid w:val="000426E7"/>
    <w:rsid w:val="00042C40"/>
    <w:rsid w:val="00043696"/>
    <w:rsid w:val="000444BF"/>
    <w:rsid w:val="00044BA7"/>
    <w:rsid w:val="0004526F"/>
    <w:rsid w:val="00045472"/>
    <w:rsid w:val="000463B5"/>
    <w:rsid w:val="0004673E"/>
    <w:rsid w:val="000467F2"/>
    <w:rsid w:val="00047479"/>
    <w:rsid w:val="0004769F"/>
    <w:rsid w:val="000476DC"/>
    <w:rsid w:val="00047A1F"/>
    <w:rsid w:val="0005041B"/>
    <w:rsid w:val="000507CF"/>
    <w:rsid w:val="0005109E"/>
    <w:rsid w:val="00051A73"/>
    <w:rsid w:val="00052379"/>
    <w:rsid w:val="00053376"/>
    <w:rsid w:val="0005356B"/>
    <w:rsid w:val="00053608"/>
    <w:rsid w:val="000541C4"/>
    <w:rsid w:val="000541EC"/>
    <w:rsid w:val="0005451A"/>
    <w:rsid w:val="00055B88"/>
    <w:rsid w:val="00057EFB"/>
    <w:rsid w:val="0006099A"/>
    <w:rsid w:val="00062A73"/>
    <w:rsid w:val="00063871"/>
    <w:rsid w:val="00063FE1"/>
    <w:rsid w:val="00064102"/>
    <w:rsid w:val="000646C1"/>
    <w:rsid w:val="00065701"/>
    <w:rsid w:val="00065D19"/>
    <w:rsid w:val="000665DC"/>
    <w:rsid w:val="00066F5C"/>
    <w:rsid w:val="000679B2"/>
    <w:rsid w:val="00067DE8"/>
    <w:rsid w:val="00067E49"/>
    <w:rsid w:val="0007093C"/>
    <w:rsid w:val="00070FF7"/>
    <w:rsid w:val="000717CD"/>
    <w:rsid w:val="0007183B"/>
    <w:rsid w:val="000718B8"/>
    <w:rsid w:val="00071F99"/>
    <w:rsid w:val="00072EE8"/>
    <w:rsid w:val="0007346F"/>
    <w:rsid w:val="0007364E"/>
    <w:rsid w:val="000737C5"/>
    <w:rsid w:val="00074C5F"/>
    <w:rsid w:val="00074F21"/>
    <w:rsid w:val="00075049"/>
    <w:rsid w:val="00076B04"/>
    <w:rsid w:val="00077332"/>
    <w:rsid w:val="00080193"/>
    <w:rsid w:val="00080293"/>
    <w:rsid w:val="000809E5"/>
    <w:rsid w:val="00081681"/>
    <w:rsid w:val="00081D52"/>
    <w:rsid w:val="0008206C"/>
    <w:rsid w:val="000824CF"/>
    <w:rsid w:val="00082F25"/>
    <w:rsid w:val="00082F91"/>
    <w:rsid w:val="00083EA8"/>
    <w:rsid w:val="0008427D"/>
    <w:rsid w:val="000843B1"/>
    <w:rsid w:val="0008459E"/>
    <w:rsid w:val="0008573D"/>
    <w:rsid w:val="00085D39"/>
    <w:rsid w:val="000860AB"/>
    <w:rsid w:val="000865CF"/>
    <w:rsid w:val="0008701E"/>
    <w:rsid w:val="00087F2B"/>
    <w:rsid w:val="00090BEB"/>
    <w:rsid w:val="000934B8"/>
    <w:rsid w:val="000940FB"/>
    <w:rsid w:val="000943A5"/>
    <w:rsid w:val="0009519B"/>
    <w:rsid w:val="00095707"/>
    <w:rsid w:val="00096098"/>
    <w:rsid w:val="000A0304"/>
    <w:rsid w:val="000A1A44"/>
    <w:rsid w:val="000A2B36"/>
    <w:rsid w:val="000A2B39"/>
    <w:rsid w:val="000A2CE3"/>
    <w:rsid w:val="000A35DD"/>
    <w:rsid w:val="000A3DA6"/>
    <w:rsid w:val="000A4F3E"/>
    <w:rsid w:val="000A5962"/>
    <w:rsid w:val="000A691D"/>
    <w:rsid w:val="000A6EC8"/>
    <w:rsid w:val="000B0188"/>
    <w:rsid w:val="000B084E"/>
    <w:rsid w:val="000B2771"/>
    <w:rsid w:val="000B33BB"/>
    <w:rsid w:val="000B39E3"/>
    <w:rsid w:val="000B3F9B"/>
    <w:rsid w:val="000B4257"/>
    <w:rsid w:val="000B4826"/>
    <w:rsid w:val="000B54EA"/>
    <w:rsid w:val="000B5CF0"/>
    <w:rsid w:val="000B5F30"/>
    <w:rsid w:val="000B5F37"/>
    <w:rsid w:val="000B6060"/>
    <w:rsid w:val="000B68CB"/>
    <w:rsid w:val="000B6E6E"/>
    <w:rsid w:val="000B78AF"/>
    <w:rsid w:val="000C0E96"/>
    <w:rsid w:val="000C23C8"/>
    <w:rsid w:val="000C24A9"/>
    <w:rsid w:val="000C2AF7"/>
    <w:rsid w:val="000C3ACA"/>
    <w:rsid w:val="000C593E"/>
    <w:rsid w:val="000C5D95"/>
    <w:rsid w:val="000C5DC0"/>
    <w:rsid w:val="000C67C5"/>
    <w:rsid w:val="000C683D"/>
    <w:rsid w:val="000C6D3F"/>
    <w:rsid w:val="000C7AF6"/>
    <w:rsid w:val="000C7CB9"/>
    <w:rsid w:val="000C7E7F"/>
    <w:rsid w:val="000C7F54"/>
    <w:rsid w:val="000D01FA"/>
    <w:rsid w:val="000D058E"/>
    <w:rsid w:val="000D1063"/>
    <w:rsid w:val="000D1FF1"/>
    <w:rsid w:val="000D20C3"/>
    <w:rsid w:val="000D31ED"/>
    <w:rsid w:val="000D3343"/>
    <w:rsid w:val="000D36F9"/>
    <w:rsid w:val="000D3BE3"/>
    <w:rsid w:val="000D3DE2"/>
    <w:rsid w:val="000D4700"/>
    <w:rsid w:val="000D49B6"/>
    <w:rsid w:val="000D4A65"/>
    <w:rsid w:val="000D57A2"/>
    <w:rsid w:val="000D5C1D"/>
    <w:rsid w:val="000D5E76"/>
    <w:rsid w:val="000D61A6"/>
    <w:rsid w:val="000D758D"/>
    <w:rsid w:val="000D783E"/>
    <w:rsid w:val="000D7E0E"/>
    <w:rsid w:val="000E01E0"/>
    <w:rsid w:val="000E0F08"/>
    <w:rsid w:val="000E16C5"/>
    <w:rsid w:val="000E1CD4"/>
    <w:rsid w:val="000E2017"/>
    <w:rsid w:val="000E2097"/>
    <w:rsid w:val="000E270C"/>
    <w:rsid w:val="000E28C7"/>
    <w:rsid w:val="000E2C69"/>
    <w:rsid w:val="000E3177"/>
    <w:rsid w:val="000E3182"/>
    <w:rsid w:val="000E3289"/>
    <w:rsid w:val="000E330C"/>
    <w:rsid w:val="000E36FF"/>
    <w:rsid w:val="000E3EB2"/>
    <w:rsid w:val="000E47B2"/>
    <w:rsid w:val="000E4C5D"/>
    <w:rsid w:val="000E7C5A"/>
    <w:rsid w:val="000F080C"/>
    <w:rsid w:val="000F0DE8"/>
    <w:rsid w:val="000F1742"/>
    <w:rsid w:val="000F2103"/>
    <w:rsid w:val="000F3C4A"/>
    <w:rsid w:val="000F3EE9"/>
    <w:rsid w:val="000F440B"/>
    <w:rsid w:val="000F56AC"/>
    <w:rsid w:val="000F56B4"/>
    <w:rsid w:val="000F5E14"/>
    <w:rsid w:val="000F5F7E"/>
    <w:rsid w:val="000F61BC"/>
    <w:rsid w:val="000F6B45"/>
    <w:rsid w:val="000F6BD7"/>
    <w:rsid w:val="000F6D28"/>
    <w:rsid w:val="000F7212"/>
    <w:rsid w:val="000F73C6"/>
    <w:rsid w:val="000F7425"/>
    <w:rsid w:val="00101A70"/>
    <w:rsid w:val="00101C21"/>
    <w:rsid w:val="00101EBD"/>
    <w:rsid w:val="00102064"/>
    <w:rsid w:val="00102103"/>
    <w:rsid w:val="00102185"/>
    <w:rsid w:val="00102284"/>
    <w:rsid w:val="001035E3"/>
    <w:rsid w:val="001038B2"/>
    <w:rsid w:val="001042B2"/>
    <w:rsid w:val="00104474"/>
    <w:rsid w:val="00104E17"/>
    <w:rsid w:val="001051FB"/>
    <w:rsid w:val="00105931"/>
    <w:rsid w:val="001059FA"/>
    <w:rsid w:val="001067B4"/>
    <w:rsid w:val="00107A68"/>
    <w:rsid w:val="00111A23"/>
    <w:rsid w:val="00111DB1"/>
    <w:rsid w:val="00112B06"/>
    <w:rsid w:val="00112D4E"/>
    <w:rsid w:val="00112DB1"/>
    <w:rsid w:val="00113041"/>
    <w:rsid w:val="00113587"/>
    <w:rsid w:val="00113C22"/>
    <w:rsid w:val="00115640"/>
    <w:rsid w:val="001171D3"/>
    <w:rsid w:val="00117291"/>
    <w:rsid w:val="00117539"/>
    <w:rsid w:val="0011761C"/>
    <w:rsid w:val="001178D5"/>
    <w:rsid w:val="00117C9A"/>
    <w:rsid w:val="00117FE2"/>
    <w:rsid w:val="0012282C"/>
    <w:rsid w:val="00123033"/>
    <w:rsid w:val="0012394C"/>
    <w:rsid w:val="00123CAE"/>
    <w:rsid w:val="00123E17"/>
    <w:rsid w:val="00124010"/>
    <w:rsid w:val="00124299"/>
    <w:rsid w:val="001258A0"/>
    <w:rsid w:val="001266B6"/>
    <w:rsid w:val="00126882"/>
    <w:rsid w:val="0012732D"/>
    <w:rsid w:val="00127A7C"/>
    <w:rsid w:val="00130F29"/>
    <w:rsid w:val="00131166"/>
    <w:rsid w:val="00131B50"/>
    <w:rsid w:val="0013234F"/>
    <w:rsid w:val="00132E94"/>
    <w:rsid w:val="00133310"/>
    <w:rsid w:val="001349F8"/>
    <w:rsid w:val="001350C3"/>
    <w:rsid w:val="00135378"/>
    <w:rsid w:val="00135B50"/>
    <w:rsid w:val="00136280"/>
    <w:rsid w:val="001365DB"/>
    <w:rsid w:val="001365F6"/>
    <w:rsid w:val="00136A09"/>
    <w:rsid w:val="001374DB"/>
    <w:rsid w:val="00137C1A"/>
    <w:rsid w:val="0014327D"/>
    <w:rsid w:val="0014340B"/>
    <w:rsid w:val="00144705"/>
    <w:rsid w:val="00146F06"/>
    <w:rsid w:val="001471E6"/>
    <w:rsid w:val="0015093E"/>
    <w:rsid w:val="001512E9"/>
    <w:rsid w:val="001517D8"/>
    <w:rsid w:val="001523E8"/>
    <w:rsid w:val="00152C53"/>
    <w:rsid w:val="00152D3E"/>
    <w:rsid w:val="00153311"/>
    <w:rsid w:val="00154931"/>
    <w:rsid w:val="00156870"/>
    <w:rsid w:val="001569C5"/>
    <w:rsid w:val="00157219"/>
    <w:rsid w:val="00157F5E"/>
    <w:rsid w:val="00161868"/>
    <w:rsid w:val="00161A02"/>
    <w:rsid w:val="00161A15"/>
    <w:rsid w:val="0016359C"/>
    <w:rsid w:val="00163CE2"/>
    <w:rsid w:val="00164770"/>
    <w:rsid w:val="00164EC9"/>
    <w:rsid w:val="00165539"/>
    <w:rsid w:val="001661A6"/>
    <w:rsid w:val="001661BE"/>
    <w:rsid w:val="001663CB"/>
    <w:rsid w:val="00167170"/>
    <w:rsid w:val="0016739D"/>
    <w:rsid w:val="00171303"/>
    <w:rsid w:val="00171977"/>
    <w:rsid w:val="00171A8E"/>
    <w:rsid w:val="00173008"/>
    <w:rsid w:val="00174FE1"/>
    <w:rsid w:val="001754E7"/>
    <w:rsid w:val="00176D20"/>
    <w:rsid w:val="0017720A"/>
    <w:rsid w:val="0018019C"/>
    <w:rsid w:val="00180B43"/>
    <w:rsid w:val="00180E98"/>
    <w:rsid w:val="00181074"/>
    <w:rsid w:val="00181263"/>
    <w:rsid w:val="001815CC"/>
    <w:rsid w:val="00181C60"/>
    <w:rsid w:val="001826FE"/>
    <w:rsid w:val="00182894"/>
    <w:rsid w:val="00187341"/>
    <w:rsid w:val="00187B92"/>
    <w:rsid w:val="00190006"/>
    <w:rsid w:val="00190158"/>
    <w:rsid w:val="00191404"/>
    <w:rsid w:val="00191477"/>
    <w:rsid w:val="001917F1"/>
    <w:rsid w:val="00191EA1"/>
    <w:rsid w:val="00192D0B"/>
    <w:rsid w:val="001936D1"/>
    <w:rsid w:val="00193A8D"/>
    <w:rsid w:val="00194403"/>
    <w:rsid w:val="001947F2"/>
    <w:rsid w:val="00194F41"/>
    <w:rsid w:val="00195299"/>
    <w:rsid w:val="00195481"/>
    <w:rsid w:val="001958B2"/>
    <w:rsid w:val="0019616E"/>
    <w:rsid w:val="001968E3"/>
    <w:rsid w:val="0019745C"/>
    <w:rsid w:val="00197D76"/>
    <w:rsid w:val="001A008C"/>
    <w:rsid w:val="001A0217"/>
    <w:rsid w:val="001A04D9"/>
    <w:rsid w:val="001A10C1"/>
    <w:rsid w:val="001A1346"/>
    <w:rsid w:val="001A29C8"/>
    <w:rsid w:val="001A2AD5"/>
    <w:rsid w:val="001A380E"/>
    <w:rsid w:val="001A4497"/>
    <w:rsid w:val="001A4AC9"/>
    <w:rsid w:val="001A4C6D"/>
    <w:rsid w:val="001A577C"/>
    <w:rsid w:val="001A611B"/>
    <w:rsid w:val="001A62B0"/>
    <w:rsid w:val="001A62B5"/>
    <w:rsid w:val="001A688C"/>
    <w:rsid w:val="001A69DB"/>
    <w:rsid w:val="001A7CAF"/>
    <w:rsid w:val="001A7F1A"/>
    <w:rsid w:val="001B10C3"/>
    <w:rsid w:val="001B20C9"/>
    <w:rsid w:val="001B41C2"/>
    <w:rsid w:val="001B480D"/>
    <w:rsid w:val="001B4D79"/>
    <w:rsid w:val="001B5391"/>
    <w:rsid w:val="001B5F97"/>
    <w:rsid w:val="001B6007"/>
    <w:rsid w:val="001B60BF"/>
    <w:rsid w:val="001B64E1"/>
    <w:rsid w:val="001B743D"/>
    <w:rsid w:val="001B745D"/>
    <w:rsid w:val="001B78FE"/>
    <w:rsid w:val="001C0092"/>
    <w:rsid w:val="001C03DA"/>
    <w:rsid w:val="001C0AFF"/>
    <w:rsid w:val="001C0BF3"/>
    <w:rsid w:val="001C333E"/>
    <w:rsid w:val="001C3445"/>
    <w:rsid w:val="001C3851"/>
    <w:rsid w:val="001C3E12"/>
    <w:rsid w:val="001C6222"/>
    <w:rsid w:val="001C6298"/>
    <w:rsid w:val="001C635F"/>
    <w:rsid w:val="001C6D75"/>
    <w:rsid w:val="001C708B"/>
    <w:rsid w:val="001C7225"/>
    <w:rsid w:val="001C77B0"/>
    <w:rsid w:val="001D0137"/>
    <w:rsid w:val="001D0BA4"/>
    <w:rsid w:val="001D0EB7"/>
    <w:rsid w:val="001D2E81"/>
    <w:rsid w:val="001D32D2"/>
    <w:rsid w:val="001D3DA7"/>
    <w:rsid w:val="001D475E"/>
    <w:rsid w:val="001D4F63"/>
    <w:rsid w:val="001D5186"/>
    <w:rsid w:val="001D5578"/>
    <w:rsid w:val="001D6301"/>
    <w:rsid w:val="001D64EE"/>
    <w:rsid w:val="001D6B49"/>
    <w:rsid w:val="001D6BC4"/>
    <w:rsid w:val="001D6FBA"/>
    <w:rsid w:val="001D7102"/>
    <w:rsid w:val="001D75A9"/>
    <w:rsid w:val="001D7A31"/>
    <w:rsid w:val="001D7A7B"/>
    <w:rsid w:val="001D7AEF"/>
    <w:rsid w:val="001D7ED4"/>
    <w:rsid w:val="001E0367"/>
    <w:rsid w:val="001E1028"/>
    <w:rsid w:val="001E1BA2"/>
    <w:rsid w:val="001E25D7"/>
    <w:rsid w:val="001E42F3"/>
    <w:rsid w:val="001E6D2C"/>
    <w:rsid w:val="001E7219"/>
    <w:rsid w:val="001E7312"/>
    <w:rsid w:val="001F1697"/>
    <w:rsid w:val="001F2DCA"/>
    <w:rsid w:val="001F2E64"/>
    <w:rsid w:val="001F486C"/>
    <w:rsid w:val="001F4E69"/>
    <w:rsid w:val="001F58C7"/>
    <w:rsid w:val="001F5D7B"/>
    <w:rsid w:val="001F609C"/>
    <w:rsid w:val="001F61BA"/>
    <w:rsid w:val="001F6677"/>
    <w:rsid w:val="002000AC"/>
    <w:rsid w:val="00200669"/>
    <w:rsid w:val="0020087D"/>
    <w:rsid w:val="00200F17"/>
    <w:rsid w:val="0020267C"/>
    <w:rsid w:val="00202C51"/>
    <w:rsid w:val="00202D5E"/>
    <w:rsid w:val="00202E62"/>
    <w:rsid w:val="002031E5"/>
    <w:rsid w:val="00203554"/>
    <w:rsid w:val="00203F9E"/>
    <w:rsid w:val="00204400"/>
    <w:rsid w:val="0020556C"/>
    <w:rsid w:val="002056F7"/>
    <w:rsid w:val="00205ADF"/>
    <w:rsid w:val="00205D0A"/>
    <w:rsid w:val="0020649B"/>
    <w:rsid w:val="00206DEE"/>
    <w:rsid w:val="002072B2"/>
    <w:rsid w:val="002078C8"/>
    <w:rsid w:val="002103C3"/>
    <w:rsid w:val="00210720"/>
    <w:rsid w:val="00210DA8"/>
    <w:rsid w:val="00210DE0"/>
    <w:rsid w:val="0021197E"/>
    <w:rsid w:val="00211CEC"/>
    <w:rsid w:val="00212529"/>
    <w:rsid w:val="0021285C"/>
    <w:rsid w:val="00212F11"/>
    <w:rsid w:val="002137BA"/>
    <w:rsid w:val="002143EA"/>
    <w:rsid w:val="0021453D"/>
    <w:rsid w:val="00214722"/>
    <w:rsid w:val="00214B49"/>
    <w:rsid w:val="00215FD0"/>
    <w:rsid w:val="00217ABB"/>
    <w:rsid w:val="00220D5E"/>
    <w:rsid w:val="00220F99"/>
    <w:rsid w:val="00221079"/>
    <w:rsid w:val="002222D4"/>
    <w:rsid w:val="00222966"/>
    <w:rsid w:val="00223C60"/>
    <w:rsid w:val="002245DD"/>
    <w:rsid w:val="00224936"/>
    <w:rsid w:val="00224CCC"/>
    <w:rsid w:val="00225A82"/>
    <w:rsid w:val="00225B32"/>
    <w:rsid w:val="00226116"/>
    <w:rsid w:val="002261D9"/>
    <w:rsid w:val="00226676"/>
    <w:rsid w:val="002268E7"/>
    <w:rsid w:val="00226C04"/>
    <w:rsid w:val="00230239"/>
    <w:rsid w:val="00230982"/>
    <w:rsid w:val="00230AF5"/>
    <w:rsid w:val="002310D6"/>
    <w:rsid w:val="002323B9"/>
    <w:rsid w:val="002330DF"/>
    <w:rsid w:val="002337A9"/>
    <w:rsid w:val="002358C2"/>
    <w:rsid w:val="002358D1"/>
    <w:rsid w:val="00236BDB"/>
    <w:rsid w:val="00236E22"/>
    <w:rsid w:val="00237297"/>
    <w:rsid w:val="00240021"/>
    <w:rsid w:val="002402C9"/>
    <w:rsid w:val="00240909"/>
    <w:rsid w:val="00240C2B"/>
    <w:rsid w:val="0024110F"/>
    <w:rsid w:val="00241F6C"/>
    <w:rsid w:val="002425DD"/>
    <w:rsid w:val="00243F15"/>
    <w:rsid w:val="00244329"/>
    <w:rsid w:val="00246065"/>
    <w:rsid w:val="00246619"/>
    <w:rsid w:val="0024697E"/>
    <w:rsid w:val="0024708F"/>
    <w:rsid w:val="00250448"/>
    <w:rsid w:val="00250A8D"/>
    <w:rsid w:val="00250D93"/>
    <w:rsid w:val="00251CA6"/>
    <w:rsid w:val="002521EC"/>
    <w:rsid w:val="002524E2"/>
    <w:rsid w:val="0025287B"/>
    <w:rsid w:val="002533A7"/>
    <w:rsid w:val="002542DD"/>
    <w:rsid w:val="002542EF"/>
    <w:rsid w:val="00254523"/>
    <w:rsid w:val="002546A6"/>
    <w:rsid w:val="00254851"/>
    <w:rsid w:val="002548C3"/>
    <w:rsid w:val="00254E00"/>
    <w:rsid w:val="00255A74"/>
    <w:rsid w:val="00255D3D"/>
    <w:rsid w:val="002568ED"/>
    <w:rsid w:val="002573E5"/>
    <w:rsid w:val="002604A1"/>
    <w:rsid w:val="00260940"/>
    <w:rsid w:val="002617CA"/>
    <w:rsid w:val="002617E8"/>
    <w:rsid w:val="00261BED"/>
    <w:rsid w:val="00261E46"/>
    <w:rsid w:val="00261E57"/>
    <w:rsid w:val="00262BAD"/>
    <w:rsid w:val="0026334D"/>
    <w:rsid w:val="00263991"/>
    <w:rsid w:val="002649E0"/>
    <w:rsid w:val="00264BF7"/>
    <w:rsid w:val="00264DC5"/>
    <w:rsid w:val="002655FE"/>
    <w:rsid w:val="002665A8"/>
    <w:rsid w:val="00266C71"/>
    <w:rsid w:val="002674BB"/>
    <w:rsid w:val="002700BA"/>
    <w:rsid w:val="00270DF3"/>
    <w:rsid w:val="00270E8B"/>
    <w:rsid w:val="002716FA"/>
    <w:rsid w:val="00271B23"/>
    <w:rsid w:val="0027204B"/>
    <w:rsid w:val="002722DA"/>
    <w:rsid w:val="00272675"/>
    <w:rsid w:val="0027327E"/>
    <w:rsid w:val="002734A4"/>
    <w:rsid w:val="00273608"/>
    <w:rsid w:val="00273A74"/>
    <w:rsid w:val="002742B2"/>
    <w:rsid w:val="00274C09"/>
    <w:rsid w:val="002756D5"/>
    <w:rsid w:val="00275E9E"/>
    <w:rsid w:val="00275F5F"/>
    <w:rsid w:val="00277EAA"/>
    <w:rsid w:val="0028087D"/>
    <w:rsid w:val="00280C4D"/>
    <w:rsid w:val="002813BD"/>
    <w:rsid w:val="002822D3"/>
    <w:rsid w:val="0028289B"/>
    <w:rsid w:val="00282971"/>
    <w:rsid w:val="00282D16"/>
    <w:rsid w:val="00283133"/>
    <w:rsid w:val="00285170"/>
    <w:rsid w:val="00285584"/>
    <w:rsid w:val="0028627A"/>
    <w:rsid w:val="00286634"/>
    <w:rsid w:val="00287928"/>
    <w:rsid w:val="00287D55"/>
    <w:rsid w:val="00291A83"/>
    <w:rsid w:val="00291BC0"/>
    <w:rsid w:val="00294077"/>
    <w:rsid w:val="002940AA"/>
    <w:rsid w:val="002940B7"/>
    <w:rsid w:val="00294DC2"/>
    <w:rsid w:val="002956C9"/>
    <w:rsid w:val="00295F01"/>
    <w:rsid w:val="002A07C4"/>
    <w:rsid w:val="002A0D85"/>
    <w:rsid w:val="002A18E8"/>
    <w:rsid w:val="002A1DF5"/>
    <w:rsid w:val="002A1EED"/>
    <w:rsid w:val="002A2D78"/>
    <w:rsid w:val="002A2EA8"/>
    <w:rsid w:val="002A36A1"/>
    <w:rsid w:val="002A4BA6"/>
    <w:rsid w:val="002A5097"/>
    <w:rsid w:val="002A5447"/>
    <w:rsid w:val="002A55E0"/>
    <w:rsid w:val="002A5F54"/>
    <w:rsid w:val="002A5F61"/>
    <w:rsid w:val="002A6126"/>
    <w:rsid w:val="002A6356"/>
    <w:rsid w:val="002A6BD1"/>
    <w:rsid w:val="002B086C"/>
    <w:rsid w:val="002B3D30"/>
    <w:rsid w:val="002B47CC"/>
    <w:rsid w:val="002B4A54"/>
    <w:rsid w:val="002B5903"/>
    <w:rsid w:val="002C05EE"/>
    <w:rsid w:val="002C1AD7"/>
    <w:rsid w:val="002C1CF2"/>
    <w:rsid w:val="002C24B2"/>
    <w:rsid w:val="002C30C9"/>
    <w:rsid w:val="002C4572"/>
    <w:rsid w:val="002C477D"/>
    <w:rsid w:val="002C4EE0"/>
    <w:rsid w:val="002C5B29"/>
    <w:rsid w:val="002C5D36"/>
    <w:rsid w:val="002C6AAB"/>
    <w:rsid w:val="002C6EE8"/>
    <w:rsid w:val="002C79A8"/>
    <w:rsid w:val="002C7B51"/>
    <w:rsid w:val="002C7EB8"/>
    <w:rsid w:val="002D1029"/>
    <w:rsid w:val="002D1385"/>
    <w:rsid w:val="002D18E7"/>
    <w:rsid w:val="002D1983"/>
    <w:rsid w:val="002D2583"/>
    <w:rsid w:val="002D2602"/>
    <w:rsid w:val="002D2882"/>
    <w:rsid w:val="002D2A78"/>
    <w:rsid w:val="002D3C11"/>
    <w:rsid w:val="002D5AFB"/>
    <w:rsid w:val="002D5ECA"/>
    <w:rsid w:val="002D6C8C"/>
    <w:rsid w:val="002D72B5"/>
    <w:rsid w:val="002D7EAD"/>
    <w:rsid w:val="002E0444"/>
    <w:rsid w:val="002E11AD"/>
    <w:rsid w:val="002E138D"/>
    <w:rsid w:val="002E1E7F"/>
    <w:rsid w:val="002E2D2D"/>
    <w:rsid w:val="002E33E4"/>
    <w:rsid w:val="002E3672"/>
    <w:rsid w:val="002E3784"/>
    <w:rsid w:val="002E3993"/>
    <w:rsid w:val="002E47FC"/>
    <w:rsid w:val="002E5123"/>
    <w:rsid w:val="002E5718"/>
    <w:rsid w:val="002E5DEE"/>
    <w:rsid w:val="002E7449"/>
    <w:rsid w:val="002E7582"/>
    <w:rsid w:val="002F00AA"/>
    <w:rsid w:val="002F0454"/>
    <w:rsid w:val="002F10BE"/>
    <w:rsid w:val="002F21DF"/>
    <w:rsid w:val="002F43FC"/>
    <w:rsid w:val="002F49EA"/>
    <w:rsid w:val="002F5992"/>
    <w:rsid w:val="002F5BF1"/>
    <w:rsid w:val="002F65BF"/>
    <w:rsid w:val="002F74FF"/>
    <w:rsid w:val="002F78F5"/>
    <w:rsid w:val="00300653"/>
    <w:rsid w:val="00301A83"/>
    <w:rsid w:val="00302AE0"/>
    <w:rsid w:val="003032B0"/>
    <w:rsid w:val="00304A6F"/>
    <w:rsid w:val="00304C63"/>
    <w:rsid w:val="00305A32"/>
    <w:rsid w:val="0030749A"/>
    <w:rsid w:val="0030756B"/>
    <w:rsid w:val="003075C9"/>
    <w:rsid w:val="003105F9"/>
    <w:rsid w:val="0031188E"/>
    <w:rsid w:val="00311F7E"/>
    <w:rsid w:val="003122B0"/>
    <w:rsid w:val="003122DE"/>
    <w:rsid w:val="003138E9"/>
    <w:rsid w:val="003143AC"/>
    <w:rsid w:val="003152CD"/>
    <w:rsid w:val="003158F5"/>
    <w:rsid w:val="00315975"/>
    <w:rsid w:val="00315A68"/>
    <w:rsid w:val="0031685A"/>
    <w:rsid w:val="00316F47"/>
    <w:rsid w:val="003172DF"/>
    <w:rsid w:val="00317AFA"/>
    <w:rsid w:val="00317B3E"/>
    <w:rsid w:val="003215E2"/>
    <w:rsid w:val="0032369B"/>
    <w:rsid w:val="00323E06"/>
    <w:rsid w:val="00324141"/>
    <w:rsid w:val="003243EA"/>
    <w:rsid w:val="003247E0"/>
    <w:rsid w:val="00327940"/>
    <w:rsid w:val="00330AEC"/>
    <w:rsid w:val="00332547"/>
    <w:rsid w:val="00332F14"/>
    <w:rsid w:val="003342E0"/>
    <w:rsid w:val="00334605"/>
    <w:rsid w:val="0033496A"/>
    <w:rsid w:val="00334AF5"/>
    <w:rsid w:val="00334BE0"/>
    <w:rsid w:val="003363F4"/>
    <w:rsid w:val="003369BD"/>
    <w:rsid w:val="00336B1A"/>
    <w:rsid w:val="003373DE"/>
    <w:rsid w:val="003379EA"/>
    <w:rsid w:val="00337A97"/>
    <w:rsid w:val="00337D01"/>
    <w:rsid w:val="0034024E"/>
    <w:rsid w:val="00340275"/>
    <w:rsid w:val="003406B4"/>
    <w:rsid w:val="00340A11"/>
    <w:rsid w:val="00340EC1"/>
    <w:rsid w:val="00341069"/>
    <w:rsid w:val="00341742"/>
    <w:rsid w:val="00342438"/>
    <w:rsid w:val="00343312"/>
    <w:rsid w:val="00343B2C"/>
    <w:rsid w:val="00343EFB"/>
    <w:rsid w:val="0034404A"/>
    <w:rsid w:val="003448E7"/>
    <w:rsid w:val="00345CB6"/>
    <w:rsid w:val="003463DA"/>
    <w:rsid w:val="003468CB"/>
    <w:rsid w:val="0035005B"/>
    <w:rsid w:val="00350415"/>
    <w:rsid w:val="0035093A"/>
    <w:rsid w:val="003510C4"/>
    <w:rsid w:val="00351552"/>
    <w:rsid w:val="00351D51"/>
    <w:rsid w:val="00353863"/>
    <w:rsid w:val="00353F2A"/>
    <w:rsid w:val="00354BDE"/>
    <w:rsid w:val="0035557D"/>
    <w:rsid w:val="003558F7"/>
    <w:rsid w:val="00356C2F"/>
    <w:rsid w:val="00356C84"/>
    <w:rsid w:val="00356FFD"/>
    <w:rsid w:val="003600B1"/>
    <w:rsid w:val="00360674"/>
    <w:rsid w:val="003617DE"/>
    <w:rsid w:val="00362133"/>
    <w:rsid w:val="003629F7"/>
    <w:rsid w:val="0036321A"/>
    <w:rsid w:val="00363685"/>
    <w:rsid w:val="00363B41"/>
    <w:rsid w:val="00364030"/>
    <w:rsid w:val="00364310"/>
    <w:rsid w:val="00364471"/>
    <w:rsid w:val="0036488D"/>
    <w:rsid w:val="00365AA3"/>
    <w:rsid w:val="00365D0A"/>
    <w:rsid w:val="0036610F"/>
    <w:rsid w:val="003669F9"/>
    <w:rsid w:val="00366A15"/>
    <w:rsid w:val="00366EDD"/>
    <w:rsid w:val="00366EEA"/>
    <w:rsid w:val="003677A2"/>
    <w:rsid w:val="0036799C"/>
    <w:rsid w:val="00367A0C"/>
    <w:rsid w:val="003703E4"/>
    <w:rsid w:val="003705AB"/>
    <w:rsid w:val="0037067D"/>
    <w:rsid w:val="00370A9F"/>
    <w:rsid w:val="00370FD4"/>
    <w:rsid w:val="003711A8"/>
    <w:rsid w:val="00372770"/>
    <w:rsid w:val="00372D41"/>
    <w:rsid w:val="00373030"/>
    <w:rsid w:val="00373868"/>
    <w:rsid w:val="00373E34"/>
    <w:rsid w:val="003741D7"/>
    <w:rsid w:val="00374270"/>
    <w:rsid w:val="00375770"/>
    <w:rsid w:val="00375935"/>
    <w:rsid w:val="00376040"/>
    <w:rsid w:val="003766B4"/>
    <w:rsid w:val="00376C25"/>
    <w:rsid w:val="00377640"/>
    <w:rsid w:val="00381013"/>
    <w:rsid w:val="00381463"/>
    <w:rsid w:val="00381A59"/>
    <w:rsid w:val="00382A55"/>
    <w:rsid w:val="00383153"/>
    <w:rsid w:val="003839B6"/>
    <w:rsid w:val="00383D7F"/>
    <w:rsid w:val="0038412A"/>
    <w:rsid w:val="00384161"/>
    <w:rsid w:val="00384667"/>
    <w:rsid w:val="003846CA"/>
    <w:rsid w:val="00384ABB"/>
    <w:rsid w:val="00384B0B"/>
    <w:rsid w:val="00385126"/>
    <w:rsid w:val="00385F96"/>
    <w:rsid w:val="00386068"/>
    <w:rsid w:val="00386487"/>
    <w:rsid w:val="0038660C"/>
    <w:rsid w:val="00390F89"/>
    <w:rsid w:val="00391190"/>
    <w:rsid w:val="003916E5"/>
    <w:rsid w:val="0039189F"/>
    <w:rsid w:val="00391CED"/>
    <w:rsid w:val="00391E06"/>
    <w:rsid w:val="00391F2A"/>
    <w:rsid w:val="00391F40"/>
    <w:rsid w:val="00392EA3"/>
    <w:rsid w:val="00395195"/>
    <w:rsid w:val="00395E53"/>
    <w:rsid w:val="00397D8D"/>
    <w:rsid w:val="00397EAE"/>
    <w:rsid w:val="00397FAD"/>
    <w:rsid w:val="003A06E6"/>
    <w:rsid w:val="003A1257"/>
    <w:rsid w:val="003A154B"/>
    <w:rsid w:val="003A1C4A"/>
    <w:rsid w:val="003A2C70"/>
    <w:rsid w:val="003A2D6A"/>
    <w:rsid w:val="003A42BF"/>
    <w:rsid w:val="003A460A"/>
    <w:rsid w:val="003A5196"/>
    <w:rsid w:val="003A698F"/>
    <w:rsid w:val="003A71C5"/>
    <w:rsid w:val="003A731C"/>
    <w:rsid w:val="003A7A96"/>
    <w:rsid w:val="003A7F03"/>
    <w:rsid w:val="003B1855"/>
    <w:rsid w:val="003B262B"/>
    <w:rsid w:val="003B2AA0"/>
    <w:rsid w:val="003B3908"/>
    <w:rsid w:val="003B4168"/>
    <w:rsid w:val="003B5495"/>
    <w:rsid w:val="003B5DA1"/>
    <w:rsid w:val="003B5E1A"/>
    <w:rsid w:val="003B636D"/>
    <w:rsid w:val="003B6B0E"/>
    <w:rsid w:val="003B6D15"/>
    <w:rsid w:val="003B6E67"/>
    <w:rsid w:val="003B78D6"/>
    <w:rsid w:val="003C00C6"/>
    <w:rsid w:val="003C0A48"/>
    <w:rsid w:val="003C0B2F"/>
    <w:rsid w:val="003C0CCD"/>
    <w:rsid w:val="003C153C"/>
    <w:rsid w:val="003C1656"/>
    <w:rsid w:val="003C1F25"/>
    <w:rsid w:val="003C1F9F"/>
    <w:rsid w:val="003C4213"/>
    <w:rsid w:val="003C45F2"/>
    <w:rsid w:val="003C4A79"/>
    <w:rsid w:val="003C5763"/>
    <w:rsid w:val="003C6140"/>
    <w:rsid w:val="003C6562"/>
    <w:rsid w:val="003C6BB6"/>
    <w:rsid w:val="003C6E2F"/>
    <w:rsid w:val="003C74F3"/>
    <w:rsid w:val="003C792E"/>
    <w:rsid w:val="003D0B5C"/>
    <w:rsid w:val="003D10B4"/>
    <w:rsid w:val="003D1564"/>
    <w:rsid w:val="003D1CA8"/>
    <w:rsid w:val="003D4932"/>
    <w:rsid w:val="003D4B09"/>
    <w:rsid w:val="003D5353"/>
    <w:rsid w:val="003D5A13"/>
    <w:rsid w:val="003D678C"/>
    <w:rsid w:val="003D6A81"/>
    <w:rsid w:val="003D726F"/>
    <w:rsid w:val="003D72B6"/>
    <w:rsid w:val="003D7687"/>
    <w:rsid w:val="003E005D"/>
    <w:rsid w:val="003E1676"/>
    <w:rsid w:val="003E19C3"/>
    <w:rsid w:val="003E1FE4"/>
    <w:rsid w:val="003E382C"/>
    <w:rsid w:val="003E4358"/>
    <w:rsid w:val="003E458F"/>
    <w:rsid w:val="003E5B24"/>
    <w:rsid w:val="003E637D"/>
    <w:rsid w:val="003E6945"/>
    <w:rsid w:val="003F1181"/>
    <w:rsid w:val="003F20FF"/>
    <w:rsid w:val="003F251A"/>
    <w:rsid w:val="003F28F3"/>
    <w:rsid w:val="003F30C3"/>
    <w:rsid w:val="003F3779"/>
    <w:rsid w:val="003F405D"/>
    <w:rsid w:val="003F43F8"/>
    <w:rsid w:val="003F5A7E"/>
    <w:rsid w:val="003F6109"/>
    <w:rsid w:val="003F65F1"/>
    <w:rsid w:val="003F65F8"/>
    <w:rsid w:val="003F6617"/>
    <w:rsid w:val="003F6D4B"/>
    <w:rsid w:val="003F7B71"/>
    <w:rsid w:val="004002AF"/>
    <w:rsid w:val="00400744"/>
    <w:rsid w:val="004009A3"/>
    <w:rsid w:val="0040125C"/>
    <w:rsid w:val="00402160"/>
    <w:rsid w:val="00402707"/>
    <w:rsid w:val="00402A07"/>
    <w:rsid w:val="0040388C"/>
    <w:rsid w:val="0040426C"/>
    <w:rsid w:val="00404CA4"/>
    <w:rsid w:val="00405110"/>
    <w:rsid w:val="00405881"/>
    <w:rsid w:val="00405D71"/>
    <w:rsid w:val="00406A4D"/>
    <w:rsid w:val="00407053"/>
    <w:rsid w:val="0040749E"/>
    <w:rsid w:val="00407C3F"/>
    <w:rsid w:val="00407DEA"/>
    <w:rsid w:val="00410321"/>
    <w:rsid w:val="004107FB"/>
    <w:rsid w:val="0041426C"/>
    <w:rsid w:val="00414778"/>
    <w:rsid w:val="00414F8A"/>
    <w:rsid w:val="00414FFB"/>
    <w:rsid w:val="004151ED"/>
    <w:rsid w:val="004159AF"/>
    <w:rsid w:val="004160A0"/>
    <w:rsid w:val="004164AF"/>
    <w:rsid w:val="00416B4D"/>
    <w:rsid w:val="0041717B"/>
    <w:rsid w:val="00417D17"/>
    <w:rsid w:val="00420036"/>
    <w:rsid w:val="004201A8"/>
    <w:rsid w:val="0042035F"/>
    <w:rsid w:val="0042039D"/>
    <w:rsid w:val="00421BBB"/>
    <w:rsid w:val="0042246F"/>
    <w:rsid w:val="0042266E"/>
    <w:rsid w:val="00423A7F"/>
    <w:rsid w:val="00424072"/>
    <w:rsid w:val="0042497B"/>
    <w:rsid w:val="00424B45"/>
    <w:rsid w:val="00424CB9"/>
    <w:rsid w:val="0042529E"/>
    <w:rsid w:val="004252F4"/>
    <w:rsid w:val="0042561D"/>
    <w:rsid w:val="00426191"/>
    <w:rsid w:val="0042762B"/>
    <w:rsid w:val="004309DA"/>
    <w:rsid w:val="00430A6C"/>
    <w:rsid w:val="004310F8"/>
    <w:rsid w:val="00431EFB"/>
    <w:rsid w:val="00432BAB"/>
    <w:rsid w:val="00433AE7"/>
    <w:rsid w:val="00434505"/>
    <w:rsid w:val="00436186"/>
    <w:rsid w:val="0043682D"/>
    <w:rsid w:val="0043767A"/>
    <w:rsid w:val="00437806"/>
    <w:rsid w:val="00437888"/>
    <w:rsid w:val="004407DC"/>
    <w:rsid w:val="00440A6A"/>
    <w:rsid w:val="00440F7C"/>
    <w:rsid w:val="0044115C"/>
    <w:rsid w:val="0044170B"/>
    <w:rsid w:val="00442496"/>
    <w:rsid w:val="004431DD"/>
    <w:rsid w:val="004441C2"/>
    <w:rsid w:val="00445DAA"/>
    <w:rsid w:val="004460A6"/>
    <w:rsid w:val="004466D1"/>
    <w:rsid w:val="00447C72"/>
    <w:rsid w:val="00450209"/>
    <w:rsid w:val="00450258"/>
    <w:rsid w:val="004517DC"/>
    <w:rsid w:val="004520DD"/>
    <w:rsid w:val="004528BC"/>
    <w:rsid w:val="00452B04"/>
    <w:rsid w:val="00452C22"/>
    <w:rsid w:val="00452C35"/>
    <w:rsid w:val="00453B63"/>
    <w:rsid w:val="004560B2"/>
    <w:rsid w:val="004575EC"/>
    <w:rsid w:val="00460328"/>
    <w:rsid w:val="004615E7"/>
    <w:rsid w:val="00461DA5"/>
    <w:rsid w:val="00462036"/>
    <w:rsid w:val="00462387"/>
    <w:rsid w:val="004633F7"/>
    <w:rsid w:val="00463467"/>
    <w:rsid w:val="00463D05"/>
    <w:rsid w:val="00463FD7"/>
    <w:rsid w:val="0046402A"/>
    <w:rsid w:val="004646A1"/>
    <w:rsid w:val="004647C2"/>
    <w:rsid w:val="0046539E"/>
    <w:rsid w:val="00466259"/>
    <w:rsid w:val="004675DB"/>
    <w:rsid w:val="00467BC9"/>
    <w:rsid w:val="0047069B"/>
    <w:rsid w:val="00470AF0"/>
    <w:rsid w:val="004712B9"/>
    <w:rsid w:val="00473605"/>
    <w:rsid w:val="004746EF"/>
    <w:rsid w:val="0047471D"/>
    <w:rsid w:val="00474882"/>
    <w:rsid w:val="00475309"/>
    <w:rsid w:val="00475AE6"/>
    <w:rsid w:val="00475D73"/>
    <w:rsid w:val="00476107"/>
    <w:rsid w:val="00476E7D"/>
    <w:rsid w:val="0047736D"/>
    <w:rsid w:val="0047746A"/>
    <w:rsid w:val="004819F7"/>
    <w:rsid w:val="00482769"/>
    <w:rsid w:val="00482990"/>
    <w:rsid w:val="00483118"/>
    <w:rsid w:val="00483C76"/>
    <w:rsid w:val="00484475"/>
    <w:rsid w:val="00484846"/>
    <w:rsid w:val="00484FD0"/>
    <w:rsid w:val="00484FEF"/>
    <w:rsid w:val="004858F9"/>
    <w:rsid w:val="00486037"/>
    <w:rsid w:val="0048614C"/>
    <w:rsid w:val="00486C02"/>
    <w:rsid w:val="004875BE"/>
    <w:rsid w:val="0048761E"/>
    <w:rsid w:val="00487FAD"/>
    <w:rsid w:val="00490A81"/>
    <w:rsid w:val="00490C49"/>
    <w:rsid w:val="00490E77"/>
    <w:rsid w:val="00491044"/>
    <w:rsid w:val="00491348"/>
    <w:rsid w:val="00491389"/>
    <w:rsid w:val="004913C7"/>
    <w:rsid w:val="004926B4"/>
    <w:rsid w:val="00492837"/>
    <w:rsid w:val="00492BB9"/>
    <w:rsid w:val="00492BCA"/>
    <w:rsid w:val="00492F4E"/>
    <w:rsid w:val="00493137"/>
    <w:rsid w:val="00493668"/>
    <w:rsid w:val="0049424F"/>
    <w:rsid w:val="0049567F"/>
    <w:rsid w:val="00496818"/>
    <w:rsid w:val="00497063"/>
    <w:rsid w:val="00497B7F"/>
    <w:rsid w:val="004A0120"/>
    <w:rsid w:val="004A01F0"/>
    <w:rsid w:val="004A0897"/>
    <w:rsid w:val="004A1760"/>
    <w:rsid w:val="004A2498"/>
    <w:rsid w:val="004A2D94"/>
    <w:rsid w:val="004A3256"/>
    <w:rsid w:val="004A42D3"/>
    <w:rsid w:val="004A5B8B"/>
    <w:rsid w:val="004A68C3"/>
    <w:rsid w:val="004A7607"/>
    <w:rsid w:val="004A78D8"/>
    <w:rsid w:val="004A7C23"/>
    <w:rsid w:val="004B12B0"/>
    <w:rsid w:val="004B1382"/>
    <w:rsid w:val="004B34C7"/>
    <w:rsid w:val="004B3916"/>
    <w:rsid w:val="004B48BE"/>
    <w:rsid w:val="004B49F3"/>
    <w:rsid w:val="004B5ECD"/>
    <w:rsid w:val="004B69E8"/>
    <w:rsid w:val="004B6ACB"/>
    <w:rsid w:val="004B6AEC"/>
    <w:rsid w:val="004B743E"/>
    <w:rsid w:val="004B77D3"/>
    <w:rsid w:val="004B781A"/>
    <w:rsid w:val="004C070E"/>
    <w:rsid w:val="004C07FC"/>
    <w:rsid w:val="004C0D38"/>
    <w:rsid w:val="004C16F4"/>
    <w:rsid w:val="004C4863"/>
    <w:rsid w:val="004C53C9"/>
    <w:rsid w:val="004C56C4"/>
    <w:rsid w:val="004C726D"/>
    <w:rsid w:val="004C7657"/>
    <w:rsid w:val="004C7687"/>
    <w:rsid w:val="004C7E5C"/>
    <w:rsid w:val="004D00FE"/>
    <w:rsid w:val="004D03E5"/>
    <w:rsid w:val="004D21D8"/>
    <w:rsid w:val="004D2B01"/>
    <w:rsid w:val="004D32FA"/>
    <w:rsid w:val="004D3DD3"/>
    <w:rsid w:val="004D57EA"/>
    <w:rsid w:val="004D591A"/>
    <w:rsid w:val="004D7FE0"/>
    <w:rsid w:val="004E086A"/>
    <w:rsid w:val="004E2410"/>
    <w:rsid w:val="004E2F05"/>
    <w:rsid w:val="004E3652"/>
    <w:rsid w:val="004E498D"/>
    <w:rsid w:val="004E49A4"/>
    <w:rsid w:val="004E5585"/>
    <w:rsid w:val="004E58F2"/>
    <w:rsid w:val="004E69FF"/>
    <w:rsid w:val="004E754F"/>
    <w:rsid w:val="004F0105"/>
    <w:rsid w:val="004F203D"/>
    <w:rsid w:val="004F25BD"/>
    <w:rsid w:val="004F477D"/>
    <w:rsid w:val="004F4D96"/>
    <w:rsid w:val="004F55F7"/>
    <w:rsid w:val="004F728C"/>
    <w:rsid w:val="004F7CE8"/>
    <w:rsid w:val="005003CF"/>
    <w:rsid w:val="0050195C"/>
    <w:rsid w:val="00502E67"/>
    <w:rsid w:val="005049C8"/>
    <w:rsid w:val="00504D52"/>
    <w:rsid w:val="00505A1B"/>
    <w:rsid w:val="00506EB6"/>
    <w:rsid w:val="00513028"/>
    <w:rsid w:val="0051303A"/>
    <w:rsid w:val="0051423D"/>
    <w:rsid w:val="00514CCC"/>
    <w:rsid w:val="00515FDA"/>
    <w:rsid w:val="005160A0"/>
    <w:rsid w:val="005169BA"/>
    <w:rsid w:val="0051707A"/>
    <w:rsid w:val="00517186"/>
    <w:rsid w:val="0051720F"/>
    <w:rsid w:val="005205E2"/>
    <w:rsid w:val="00523E0A"/>
    <w:rsid w:val="005252BC"/>
    <w:rsid w:val="005263CF"/>
    <w:rsid w:val="005267D1"/>
    <w:rsid w:val="005272CA"/>
    <w:rsid w:val="005303E0"/>
    <w:rsid w:val="00530771"/>
    <w:rsid w:val="00530B85"/>
    <w:rsid w:val="00530D2D"/>
    <w:rsid w:val="005311B1"/>
    <w:rsid w:val="00531442"/>
    <w:rsid w:val="0053147C"/>
    <w:rsid w:val="00532CEB"/>
    <w:rsid w:val="005338E6"/>
    <w:rsid w:val="005338F2"/>
    <w:rsid w:val="00534CBC"/>
    <w:rsid w:val="00536E3E"/>
    <w:rsid w:val="005373F7"/>
    <w:rsid w:val="00537D16"/>
    <w:rsid w:val="00540184"/>
    <w:rsid w:val="005409AE"/>
    <w:rsid w:val="00540C4D"/>
    <w:rsid w:val="00542566"/>
    <w:rsid w:val="005425DD"/>
    <w:rsid w:val="005428D7"/>
    <w:rsid w:val="00542A17"/>
    <w:rsid w:val="00545631"/>
    <w:rsid w:val="00545AC4"/>
    <w:rsid w:val="00545CD6"/>
    <w:rsid w:val="00546CEB"/>
    <w:rsid w:val="00546EAC"/>
    <w:rsid w:val="00550D69"/>
    <w:rsid w:val="0055209F"/>
    <w:rsid w:val="00552588"/>
    <w:rsid w:val="00552789"/>
    <w:rsid w:val="00552F83"/>
    <w:rsid w:val="00555313"/>
    <w:rsid w:val="005553A1"/>
    <w:rsid w:val="0055625D"/>
    <w:rsid w:val="005570F1"/>
    <w:rsid w:val="00560574"/>
    <w:rsid w:val="00560617"/>
    <w:rsid w:val="005613A4"/>
    <w:rsid w:val="00563604"/>
    <w:rsid w:val="0056389B"/>
    <w:rsid w:val="00563C3D"/>
    <w:rsid w:val="00564F55"/>
    <w:rsid w:val="00565BE2"/>
    <w:rsid w:val="00566B7A"/>
    <w:rsid w:val="00566C66"/>
    <w:rsid w:val="0056789E"/>
    <w:rsid w:val="00567F52"/>
    <w:rsid w:val="005701F8"/>
    <w:rsid w:val="005702FA"/>
    <w:rsid w:val="00570FD2"/>
    <w:rsid w:val="005710E5"/>
    <w:rsid w:val="00571239"/>
    <w:rsid w:val="00571835"/>
    <w:rsid w:val="00571A3C"/>
    <w:rsid w:val="00571D26"/>
    <w:rsid w:val="00571F65"/>
    <w:rsid w:val="00572C00"/>
    <w:rsid w:val="0057329F"/>
    <w:rsid w:val="005738AE"/>
    <w:rsid w:val="005740CC"/>
    <w:rsid w:val="00574B65"/>
    <w:rsid w:val="00576121"/>
    <w:rsid w:val="00577532"/>
    <w:rsid w:val="0058002A"/>
    <w:rsid w:val="00580D4E"/>
    <w:rsid w:val="00580FF4"/>
    <w:rsid w:val="005812F1"/>
    <w:rsid w:val="00581762"/>
    <w:rsid w:val="00581839"/>
    <w:rsid w:val="00581A20"/>
    <w:rsid w:val="005836C4"/>
    <w:rsid w:val="00583BF7"/>
    <w:rsid w:val="00583F68"/>
    <w:rsid w:val="005848E9"/>
    <w:rsid w:val="00584A0E"/>
    <w:rsid w:val="0058702E"/>
    <w:rsid w:val="00587205"/>
    <w:rsid w:val="00587489"/>
    <w:rsid w:val="0059086A"/>
    <w:rsid w:val="0059125F"/>
    <w:rsid w:val="00591399"/>
    <w:rsid w:val="005919C6"/>
    <w:rsid w:val="00591C61"/>
    <w:rsid w:val="00591EAA"/>
    <w:rsid w:val="00591EC5"/>
    <w:rsid w:val="0059207A"/>
    <w:rsid w:val="00593ED9"/>
    <w:rsid w:val="005940BC"/>
    <w:rsid w:val="00594322"/>
    <w:rsid w:val="005A0D49"/>
    <w:rsid w:val="005A0E05"/>
    <w:rsid w:val="005A13FF"/>
    <w:rsid w:val="005A18C5"/>
    <w:rsid w:val="005A28AC"/>
    <w:rsid w:val="005A2AF9"/>
    <w:rsid w:val="005A3044"/>
    <w:rsid w:val="005A38AE"/>
    <w:rsid w:val="005A5415"/>
    <w:rsid w:val="005A5DF2"/>
    <w:rsid w:val="005A62EB"/>
    <w:rsid w:val="005A6AC4"/>
    <w:rsid w:val="005A6B3B"/>
    <w:rsid w:val="005A6FF6"/>
    <w:rsid w:val="005A738C"/>
    <w:rsid w:val="005A7877"/>
    <w:rsid w:val="005A78CD"/>
    <w:rsid w:val="005B1558"/>
    <w:rsid w:val="005B213F"/>
    <w:rsid w:val="005B28F8"/>
    <w:rsid w:val="005B4905"/>
    <w:rsid w:val="005B4C3B"/>
    <w:rsid w:val="005B5197"/>
    <w:rsid w:val="005B6546"/>
    <w:rsid w:val="005B6E0B"/>
    <w:rsid w:val="005B7E21"/>
    <w:rsid w:val="005C0052"/>
    <w:rsid w:val="005C155A"/>
    <w:rsid w:val="005C3547"/>
    <w:rsid w:val="005C3828"/>
    <w:rsid w:val="005C3FA4"/>
    <w:rsid w:val="005C4AE1"/>
    <w:rsid w:val="005C50C6"/>
    <w:rsid w:val="005C51C2"/>
    <w:rsid w:val="005C557A"/>
    <w:rsid w:val="005C573F"/>
    <w:rsid w:val="005C5B84"/>
    <w:rsid w:val="005C673B"/>
    <w:rsid w:val="005C724C"/>
    <w:rsid w:val="005C76E1"/>
    <w:rsid w:val="005C7DD9"/>
    <w:rsid w:val="005D02DA"/>
    <w:rsid w:val="005D07FC"/>
    <w:rsid w:val="005D1187"/>
    <w:rsid w:val="005D12EC"/>
    <w:rsid w:val="005D291B"/>
    <w:rsid w:val="005D379E"/>
    <w:rsid w:val="005D3F96"/>
    <w:rsid w:val="005D4392"/>
    <w:rsid w:val="005D5059"/>
    <w:rsid w:val="005D58EE"/>
    <w:rsid w:val="005D5E20"/>
    <w:rsid w:val="005D63E7"/>
    <w:rsid w:val="005D6596"/>
    <w:rsid w:val="005D6783"/>
    <w:rsid w:val="005D6A70"/>
    <w:rsid w:val="005D74B4"/>
    <w:rsid w:val="005D750F"/>
    <w:rsid w:val="005E0157"/>
    <w:rsid w:val="005E0395"/>
    <w:rsid w:val="005E0FE0"/>
    <w:rsid w:val="005E1107"/>
    <w:rsid w:val="005E1230"/>
    <w:rsid w:val="005E16A6"/>
    <w:rsid w:val="005E1708"/>
    <w:rsid w:val="005E21AA"/>
    <w:rsid w:val="005E33A2"/>
    <w:rsid w:val="005E3AB5"/>
    <w:rsid w:val="005E3CAD"/>
    <w:rsid w:val="005E44C5"/>
    <w:rsid w:val="005E4B99"/>
    <w:rsid w:val="005E4E9A"/>
    <w:rsid w:val="005E5122"/>
    <w:rsid w:val="005E5761"/>
    <w:rsid w:val="005E5CA0"/>
    <w:rsid w:val="005E5CF6"/>
    <w:rsid w:val="005E65C4"/>
    <w:rsid w:val="005E7157"/>
    <w:rsid w:val="005E7AD8"/>
    <w:rsid w:val="005E7B1C"/>
    <w:rsid w:val="005E7B94"/>
    <w:rsid w:val="005F007E"/>
    <w:rsid w:val="005F07E1"/>
    <w:rsid w:val="005F0CE9"/>
    <w:rsid w:val="005F1B5E"/>
    <w:rsid w:val="005F259D"/>
    <w:rsid w:val="005F2741"/>
    <w:rsid w:val="005F3397"/>
    <w:rsid w:val="005F35B3"/>
    <w:rsid w:val="005F4281"/>
    <w:rsid w:val="005F5275"/>
    <w:rsid w:val="005F5481"/>
    <w:rsid w:val="005F63E1"/>
    <w:rsid w:val="005F6D04"/>
    <w:rsid w:val="005F7AE7"/>
    <w:rsid w:val="005F7D99"/>
    <w:rsid w:val="005F7FCE"/>
    <w:rsid w:val="00600116"/>
    <w:rsid w:val="0060022C"/>
    <w:rsid w:val="00600E5D"/>
    <w:rsid w:val="00600F2E"/>
    <w:rsid w:val="006021EE"/>
    <w:rsid w:val="0060280A"/>
    <w:rsid w:val="00602A37"/>
    <w:rsid w:val="00602ED4"/>
    <w:rsid w:val="006040BF"/>
    <w:rsid w:val="00604D19"/>
    <w:rsid w:val="00604D49"/>
    <w:rsid w:val="00604E5A"/>
    <w:rsid w:val="00604F1A"/>
    <w:rsid w:val="0060521F"/>
    <w:rsid w:val="006056FC"/>
    <w:rsid w:val="00606323"/>
    <w:rsid w:val="006066C0"/>
    <w:rsid w:val="00606FB0"/>
    <w:rsid w:val="0060792A"/>
    <w:rsid w:val="00607DD6"/>
    <w:rsid w:val="006109AA"/>
    <w:rsid w:val="00610C4C"/>
    <w:rsid w:val="00611B6C"/>
    <w:rsid w:val="006136F2"/>
    <w:rsid w:val="00613886"/>
    <w:rsid w:val="006147C6"/>
    <w:rsid w:val="00614886"/>
    <w:rsid w:val="00614B35"/>
    <w:rsid w:val="00614E97"/>
    <w:rsid w:val="006151B0"/>
    <w:rsid w:val="0061545C"/>
    <w:rsid w:val="00615DBB"/>
    <w:rsid w:val="00617D8A"/>
    <w:rsid w:val="00617F1D"/>
    <w:rsid w:val="00620FE8"/>
    <w:rsid w:val="00621363"/>
    <w:rsid w:val="00621F97"/>
    <w:rsid w:val="006220F6"/>
    <w:rsid w:val="00622925"/>
    <w:rsid w:val="00622BD9"/>
    <w:rsid w:val="006239EA"/>
    <w:rsid w:val="00623B16"/>
    <w:rsid w:val="00624461"/>
    <w:rsid w:val="0062466C"/>
    <w:rsid w:val="00625181"/>
    <w:rsid w:val="00626288"/>
    <w:rsid w:val="00626A5A"/>
    <w:rsid w:val="00627A6C"/>
    <w:rsid w:val="00627AA8"/>
    <w:rsid w:val="00627D87"/>
    <w:rsid w:val="00630895"/>
    <w:rsid w:val="00630CA2"/>
    <w:rsid w:val="00632846"/>
    <w:rsid w:val="00634489"/>
    <w:rsid w:val="006348DD"/>
    <w:rsid w:val="0063609A"/>
    <w:rsid w:val="006370B7"/>
    <w:rsid w:val="0063798D"/>
    <w:rsid w:val="00637CFA"/>
    <w:rsid w:val="00640037"/>
    <w:rsid w:val="0064034E"/>
    <w:rsid w:val="006405D9"/>
    <w:rsid w:val="006409F0"/>
    <w:rsid w:val="00641414"/>
    <w:rsid w:val="00642951"/>
    <w:rsid w:val="00643C4B"/>
    <w:rsid w:val="00643DB9"/>
    <w:rsid w:val="00644292"/>
    <w:rsid w:val="00644524"/>
    <w:rsid w:val="00644BC1"/>
    <w:rsid w:val="0064502D"/>
    <w:rsid w:val="00645970"/>
    <w:rsid w:val="0064661D"/>
    <w:rsid w:val="00646E35"/>
    <w:rsid w:val="00646E5A"/>
    <w:rsid w:val="006474E5"/>
    <w:rsid w:val="00650314"/>
    <w:rsid w:val="0065099D"/>
    <w:rsid w:val="00650B43"/>
    <w:rsid w:val="00650DA8"/>
    <w:rsid w:val="006517ED"/>
    <w:rsid w:val="006529F1"/>
    <w:rsid w:val="00652F23"/>
    <w:rsid w:val="0065386F"/>
    <w:rsid w:val="00653938"/>
    <w:rsid w:val="00653A80"/>
    <w:rsid w:val="0065402F"/>
    <w:rsid w:val="00654C27"/>
    <w:rsid w:val="00654EF1"/>
    <w:rsid w:val="00655C0C"/>
    <w:rsid w:val="00655C24"/>
    <w:rsid w:val="00656777"/>
    <w:rsid w:val="00657661"/>
    <w:rsid w:val="0066004B"/>
    <w:rsid w:val="006607C5"/>
    <w:rsid w:val="00660EE9"/>
    <w:rsid w:val="00661677"/>
    <w:rsid w:val="006618F3"/>
    <w:rsid w:val="006646A8"/>
    <w:rsid w:val="0066507D"/>
    <w:rsid w:val="00665380"/>
    <w:rsid w:val="00665DE0"/>
    <w:rsid w:val="00665F6C"/>
    <w:rsid w:val="0066616A"/>
    <w:rsid w:val="00666728"/>
    <w:rsid w:val="00667115"/>
    <w:rsid w:val="0066715D"/>
    <w:rsid w:val="00670761"/>
    <w:rsid w:val="006709C0"/>
    <w:rsid w:val="006713A5"/>
    <w:rsid w:val="0067146D"/>
    <w:rsid w:val="0067178E"/>
    <w:rsid w:val="0067240A"/>
    <w:rsid w:val="006724EB"/>
    <w:rsid w:val="0067301A"/>
    <w:rsid w:val="00673039"/>
    <w:rsid w:val="0067318A"/>
    <w:rsid w:val="00673ABF"/>
    <w:rsid w:val="00673EB2"/>
    <w:rsid w:val="00674A47"/>
    <w:rsid w:val="00674AEC"/>
    <w:rsid w:val="00674D02"/>
    <w:rsid w:val="00675B02"/>
    <w:rsid w:val="00675EAB"/>
    <w:rsid w:val="006776CE"/>
    <w:rsid w:val="0067783A"/>
    <w:rsid w:val="006778EA"/>
    <w:rsid w:val="00680F30"/>
    <w:rsid w:val="006812C0"/>
    <w:rsid w:val="006820CC"/>
    <w:rsid w:val="006826DB"/>
    <w:rsid w:val="006865B0"/>
    <w:rsid w:val="00686B7F"/>
    <w:rsid w:val="00687894"/>
    <w:rsid w:val="00690C34"/>
    <w:rsid w:val="00691BE0"/>
    <w:rsid w:val="00692303"/>
    <w:rsid w:val="006923CD"/>
    <w:rsid w:val="006928DA"/>
    <w:rsid w:val="00693242"/>
    <w:rsid w:val="0069345C"/>
    <w:rsid w:val="00694392"/>
    <w:rsid w:val="006950AD"/>
    <w:rsid w:val="00695702"/>
    <w:rsid w:val="00695A90"/>
    <w:rsid w:val="00695F6B"/>
    <w:rsid w:val="00697C6D"/>
    <w:rsid w:val="006A036B"/>
    <w:rsid w:val="006A26D3"/>
    <w:rsid w:val="006A2844"/>
    <w:rsid w:val="006A30D9"/>
    <w:rsid w:val="006A3672"/>
    <w:rsid w:val="006A3D5F"/>
    <w:rsid w:val="006A411C"/>
    <w:rsid w:val="006A4BDE"/>
    <w:rsid w:val="006A4D90"/>
    <w:rsid w:val="006A503F"/>
    <w:rsid w:val="006A51D2"/>
    <w:rsid w:val="006A53D2"/>
    <w:rsid w:val="006A70AA"/>
    <w:rsid w:val="006A79BD"/>
    <w:rsid w:val="006A7A93"/>
    <w:rsid w:val="006B0735"/>
    <w:rsid w:val="006B1A60"/>
    <w:rsid w:val="006B2CA5"/>
    <w:rsid w:val="006B31EB"/>
    <w:rsid w:val="006B49B3"/>
    <w:rsid w:val="006B56DB"/>
    <w:rsid w:val="006B6070"/>
    <w:rsid w:val="006B6346"/>
    <w:rsid w:val="006B7069"/>
    <w:rsid w:val="006B7DDA"/>
    <w:rsid w:val="006C003D"/>
    <w:rsid w:val="006C312B"/>
    <w:rsid w:val="006C3343"/>
    <w:rsid w:val="006C474D"/>
    <w:rsid w:val="006C47E8"/>
    <w:rsid w:val="006C4808"/>
    <w:rsid w:val="006C4C38"/>
    <w:rsid w:val="006C4E16"/>
    <w:rsid w:val="006C5C86"/>
    <w:rsid w:val="006C66BB"/>
    <w:rsid w:val="006D07E6"/>
    <w:rsid w:val="006D10ED"/>
    <w:rsid w:val="006D1BC2"/>
    <w:rsid w:val="006D1C37"/>
    <w:rsid w:val="006D3F5F"/>
    <w:rsid w:val="006D4525"/>
    <w:rsid w:val="006D4F9B"/>
    <w:rsid w:val="006D509F"/>
    <w:rsid w:val="006D5651"/>
    <w:rsid w:val="006D5CDC"/>
    <w:rsid w:val="006D5F83"/>
    <w:rsid w:val="006D6876"/>
    <w:rsid w:val="006D6F77"/>
    <w:rsid w:val="006D7005"/>
    <w:rsid w:val="006D70DC"/>
    <w:rsid w:val="006D7BA7"/>
    <w:rsid w:val="006D7ED7"/>
    <w:rsid w:val="006E00CF"/>
    <w:rsid w:val="006E06AE"/>
    <w:rsid w:val="006E1270"/>
    <w:rsid w:val="006E1950"/>
    <w:rsid w:val="006E1967"/>
    <w:rsid w:val="006E2AE6"/>
    <w:rsid w:val="006E2E81"/>
    <w:rsid w:val="006E3137"/>
    <w:rsid w:val="006E3543"/>
    <w:rsid w:val="006E3D9B"/>
    <w:rsid w:val="006E48CF"/>
    <w:rsid w:val="006E5201"/>
    <w:rsid w:val="006E644C"/>
    <w:rsid w:val="006F0679"/>
    <w:rsid w:val="006F09E3"/>
    <w:rsid w:val="006F0DD9"/>
    <w:rsid w:val="006F1DF9"/>
    <w:rsid w:val="006F26B5"/>
    <w:rsid w:val="006F3253"/>
    <w:rsid w:val="006F4395"/>
    <w:rsid w:val="006F4B18"/>
    <w:rsid w:val="006F4F95"/>
    <w:rsid w:val="006F65A2"/>
    <w:rsid w:val="006F6A41"/>
    <w:rsid w:val="006F76CE"/>
    <w:rsid w:val="006F7FB6"/>
    <w:rsid w:val="00700197"/>
    <w:rsid w:val="00700971"/>
    <w:rsid w:val="00700EF3"/>
    <w:rsid w:val="00701012"/>
    <w:rsid w:val="007014AB"/>
    <w:rsid w:val="007017C6"/>
    <w:rsid w:val="00701DD6"/>
    <w:rsid w:val="00702733"/>
    <w:rsid w:val="00703028"/>
    <w:rsid w:val="0070417A"/>
    <w:rsid w:val="00704805"/>
    <w:rsid w:val="00704C87"/>
    <w:rsid w:val="00706B69"/>
    <w:rsid w:val="00707840"/>
    <w:rsid w:val="007078B4"/>
    <w:rsid w:val="00711002"/>
    <w:rsid w:val="00711E55"/>
    <w:rsid w:val="007120D0"/>
    <w:rsid w:val="00712EA1"/>
    <w:rsid w:val="00713215"/>
    <w:rsid w:val="00713606"/>
    <w:rsid w:val="00715C32"/>
    <w:rsid w:val="007165FF"/>
    <w:rsid w:val="00717666"/>
    <w:rsid w:val="00717F4F"/>
    <w:rsid w:val="00720468"/>
    <w:rsid w:val="00720816"/>
    <w:rsid w:val="00720B03"/>
    <w:rsid w:val="00723E14"/>
    <w:rsid w:val="00723E4D"/>
    <w:rsid w:val="0072421B"/>
    <w:rsid w:val="00725048"/>
    <w:rsid w:val="007250D0"/>
    <w:rsid w:val="0072590A"/>
    <w:rsid w:val="00725A5F"/>
    <w:rsid w:val="007269B8"/>
    <w:rsid w:val="0072712E"/>
    <w:rsid w:val="00727856"/>
    <w:rsid w:val="00730101"/>
    <w:rsid w:val="00730F92"/>
    <w:rsid w:val="007325E5"/>
    <w:rsid w:val="00732E05"/>
    <w:rsid w:val="00732F95"/>
    <w:rsid w:val="00733850"/>
    <w:rsid w:val="00734944"/>
    <w:rsid w:val="00734995"/>
    <w:rsid w:val="00734B77"/>
    <w:rsid w:val="0073559A"/>
    <w:rsid w:val="00735FDB"/>
    <w:rsid w:val="00736ECE"/>
    <w:rsid w:val="00737109"/>
    <w:rsid w:val="00737A26"/>
    <w:rsid w:val="00737AF3"/>
    <w:rsid w:val="007410B7"/>
    <w:rsid w:val="007416B1"/>
    <w:rsid w:val="00741AF9"/>
    <w:rsid w:val="00741C58"/>
    <w:rsid w:val="0074248E"/>
    <w:rsid w:val="00743769"/>
    <w:rsid w:val="00743AAE"/>
    <w:rsid w:val="00743C37"/>
    <w:rsid w:val="00743DEE"/>
    <w:rsid w:val="007442D0"/>
    <w:rsid w:val="00744CB8"/>
    <w:rsid w:val="00744E0B"/>
    <w:rsid w:val="00744E83"/>
    <w:rsid w:val="007458FC"/>
    <w:rsid w:val="00746B38"/>
    <w:rsid w:val="00746EDB"/>
    <w:rsid w:val="0074765C"/>
    <w:rsid w:val="00747715"/>
    <w:rsid w:val="007515A8"/>
    <w:rsid w:val="007518D6"/>
    <w:rsid w:val="007519B4"/>
    <w:rsid w:val="00751F39"/>
    <w:rsid w:val="007520F6"/>
    <w:rsid w:val="0075228C"/>
    <w:rsid w:val="00753299"/>
    <w:rsid w:val="00753807"/>
    <w:rsid w:val="007539EA"/>
    <w:rsid w:val="0075471F"/>
    <w:rsid w:val="00755D7C"/>
    <w:rsid w:val="007565EF"/>
    <w:rsid w:val="007566E1"/>
    <w:rsid w:val="0075678B"/>
    <w:rsid w:val="00756D63"/>
    <w:rsid w:val="00756E11"/>
    <w:rsid w:val="00757A6A"/>
    <w:rsid w:val="00757AD9"/>
    <w:rsid w:val="00761124"/>
    <w:rsid w:val="007620CD"/>
    <w:rsid w:val="00762FD8"/>
    <w:rsid w:val="00763FA1"/>
    <w:rsid w:val="00764118"/>
    <w:rsid w:val="00765F5E"/>
    <w:rsid w:val="007665B7"/>
    <w:rsid w:val="00766656"/>
    <w:rsid w:val="00766E62"/>
    <w:rsid w:val="007676FE"/>
    <w:rsid w:val="00770564"/>
    <w:rsid w:val="00770569"/>
    <w:rsid w:val="00770618"/>
    <w:rsid w:val="00770C76"/>
    <w:rsid w:val="00770F4A"/>
    <w:rsid w:val="00771894"/>
    <w:rsid w:val="00772A8C"/>
    <w:rsid w:val="0077327E"/>
    <w:rsid w:val="0077334D"/>
    <w:rsid w:val="00773F0E"/>
    <w:rsid w:val="0077429A"/>
    <w:rsid w:val="00774C49"/>
    <w:rsid w:val="0077582D"/>
    <w:rsid w:val="00776BAC"/>
    <w:rsid w:val="00777544"/>
    <w:rsid w:val="00777783"/>
    <w:rsid w:val="00777905"/>
    <w:rsid w:val="00777B40"/>
    <w:rsid w:val="00777FFD"/>
    <w:rsid w:val="007800F8"/>
    <w:rsid w:val="007802C5"/>
    <w:rsid w:val="00781039"/>
    <w:rsid w:val="007813B9"/>
    <w:rsid w:val="00781EEB"/>
    <w:rsid w:val="007831C6"/>
    <w:rsid w:val="007838B8"/>
    <w:rsid w:val="007843FE"/>
    <w:rsid w:val="00784A6D"/>
    <w:rsid w:val="00784A96"/>
    <w:rsid w:val="00784BC9"/>
    <w:rsid w:val="00784D7F"/>
    <w:rsid w:val="00785757"/>
    <w:rsid w:val="00785BAF"/>
    <w:rsid w:val="00785D29"/>
    <w:rsid w:val="00786FCF"/>
    <w:rsid w:val="0078778B"/>
    <w:rsid w:val="0079038A"/>
    <w:rsid w:val="00790875"/>
    <w:rsid w:val="00790924"/>
    <w:rsid w:val="007926DA"/>
    <w:rsid w:val="007927AE"/>
    <w:rsid w:val="00793081"/>
    <w:rsid w:val="00793F70"/>
    <w:rsid w:val="0079490E"/>
    <w:rsid w:val="007949C1"/>
    <w:rsid w:val="007955CC"/>
    <w:rsid w:val="0079585F"/>
    <w:rsid w:val="007971F5"/>
    <w:rsid w:val="0079732B"/>
    <w:rsid w:val="00797422"/>
    <w:rsid w:val="007979DE"/>
    <w:rsid w:val="00797FEC"/>
    <w:rsid w:val="007A2B55"/>
    <w:rsid w:val="007A390A"/>
    <w:rsid w:val="007A441D"/>
    <w:rsid w:val="007A4F40"/>
    <w:rsid w:val="007A5955"/>
    <w:rsid w:val="007A59B7"/>
    <w:rsid w:val="007A5F01"/>
    <w:rsid w:val="007A682F"/>
    <w:rsid w:val="007A6C88"/>
    <w:rsid w:val="007A72F9"/>
    <w:rsid w:val="007A736B"/>
    <w:rsid w:val="007B0741"/>
    <w:rsid w:val="007B07F1"/>
    <w:rsid w:val="007B0B6B"/>
    <w:rsid w:val="007B1C22"/>
    <w:rsid w:val="007B27D8"/>
    <w:rsid w:val="007B29BA"/>
    <w:rsid w:val="007B3C1F"/>
    <w:rsid w:val="007B3F53"/>
    <w:rsid w:val="007B405F"/>
    <w:rsid w:val="007B5A1C"/>
    <w:rsid w:val="007B5FDA"/>
    <w:rsid w:val="007B6246"/>
    <w:rsid w:val="007B71CE"/>
    <w:rsid w:val="007B77BC"/>
    <w:rsid w:val="007B7A96"/>
    <w:rsid w:val="007C0451"/>
    <w:rsid w:val="007C0CEC"/>
    <w:rsid w:val="007C0F41"/>
    <w:rsid w:val="007C145A"/>
    <w:rsid w:val="007C17B4"/>
    <w:rsid w:val="007C1985"/>
    <w:rsid w:val="007C38B5"/>
    <w:rsid w:val="007C3E99"/>
    <w:rsid w:val="007C4CA9"/>
    <w:rsid w:val="007C4F74"/>
    <w:rsid w:val="007C50BA"/>
    <w:rsid w:val="007C5A27"/>
    <w:rsid w:val="007C5CF3"/>
    <w:rsid w:val="007C61A9"/>
    <w:rsid w:val="007C6FF3"/>
    <w:rsid w:val="007C7A28"/>
    <w:rsid w:val="007D0BF5"/>
    <w:rsid w:val="007D198C"/>
    <w:rsid w:val="007D49E6"/>
    <w:rsid w:val="007D5C27"/>
    <w:rsid w:val="007D5EEC"/>
    <w:rsid w:val="007D7876"/>
    <w:rsid w:val="007E041E"/>
    <w:rsid w:val="007E1CEE"/>
    <w:rsid w:val="007E2A8C"/>
    <w:rsid w:val="007E2F58"/>
    <w:rsid w:val="007E329F"/>
    <w:rsid w:val="007E32FD"/>
    <w:rsid w:val="007E38D3"/>
    <w:rsid w:val="007E5434"/>
    <w:rsid w:val="007E6DFA"/>
    <w:rsid w:val="007E6EAA"/>
    <w:rsid w:val="007F03C2"/>
    <w:rsid w:val="007F0D24"/>
    <w:rsid w:val="007F0F18"/>
    <w:rsid w:val="007F2708"/>
    <w:rsid w:val="007F27D3"/>
    <w:rsid w:val="007F3386"/>
    <w:rsid w:val="007F3428"/>
    <w:rsid w:val="007F3CCA"/>
    <w:rsid w:val="007F4507"/>
    <w:rsid w:val="007F49C6"/>
    <w:rsid w:val="007F4FCF"/>
    <w:rsid w:val="007F68B5"/>
    <w:rsid w:val="007F6C31"/>
    <w:rsid w:val="00802373"/>
    <w:rsid w:val="00802CAA"/>
    <w:rsid w:val="00802D58"/>
    <w:rsid w:val="00802E4A"/>
    <w:rsid w:val="008040C2"/>
    <w:rsid w:val="008046FD"/>
    <w:rsid w:val="008048D7"/>
    <w:rsid w:val="008051F4"/>
    <w:rsid w:val="008062A2"/>
    <w:rsid w:val="00810924"/>
    <w:rsid w:val="00811263"/>
    <w:rsid w:val="00811331"/>
    <w:rsid w:val="00811BD3"/>
    <w:rsid w:val="00813E0B"/>
    <w:rsid w:val="0081406B"/>
    <w:rsid w:val="00814C9D"/>
    <w:rsid w:val="008159D7"/>
    <w:rsid w:val="00815CF2"/>
    <w:rsid w:val="0081600D"/>
    <w:rsid w:val="008169C3"/>
    <w:rsid w:val="00817D27"/>
    <w:rsid w:val="00820021"/>
    <w:rsid w:val="008207C3"/>
    <w:rsid w:val="008210F4"/>
    <w:rsid w:val="00821622"/>
    <w:rsid w:val="00821D3F"/>
    <w:rsid w:val="00821FC9"/>
    <w:rsid w:val="00822E27"/>
    <w:rsid w:val="00823346"/>
    <w:rsid w:val="00823914"/>
    <w:rsid w:val="00823DD8"/>
    <w:rsid w:val="0082443B"/>
    <w:rsid w:val="00824879"/>
    <w:rsid w:val="00824B9D"/>
    <w:rsid w:val="008263D1"/>
    <w:rsid w:val="008266C1"/>
    <w:rsid w:val="00826BBA"/>
    <w:rsid w:val="00826BBD"/>
    <w:rsid w:val="008275E0"/>
    <w:rsid w:val="0083033A"/>
    <w:rsid w:val="00830F11"/>
    <w:rsid w:val="0083114D"/>
    <w:rsid w:val="00831943"/>
    <w:rsid w:val="0083213A"/>
    <w:rsid w:val="00833D48"/>
    <w:rsid w:val="00834097"/>
    <w:rsid w:val="008341E9"/>
    <w:rsid w:val="00834513"/>
    <w:rsid w:val="0083552C"/>
    <w:rsid w:val="00835859"/>
    <w:rsid w:val="00835B60"/>
    <w:rsid w:val="008369E9"/>
    <w:rsid w:val="00836FF3"/>
    <w:rsid w:val="00840325"/>
    <w:rsid w:val="0084259C"/>
    <w:rsid w:val="00842757"/>
    <w:rsid w:val="0084363D"/>
    <w:rsid w:val="00843980"/>
    <w:rsid w:val="00843EF8"/>
    <w:rsid w:val="00844266"/>
    <w:rsid w:val="00844532"/>
    <w:rsid w:val="0084586C"/>
    <w:rsid w:val="0084587C"/>
    <w:rsid w:val="0084628A"/>
    <w:rsid w:val="008464BB"/>
    <w:rsid w:val="00846BA1"/>
    <w:rsid w:val="00846E3E"/>
    <w:rsid w:val="008470FD"/>
    <w:rsid w:val="00847CAE"/>
    <w:rsid w:val="00847F76"/>
    <w:rsid w:val="008512A6"/>
    <w:rsid w:val="0085176B"/>
    <w:rsid w:val="008520DF"/>
    <w:rsid w:val="00852768"/>
    <w:rsid w:val="008528D5"/>
    <w:rsid w:val="00852929"/>
    <w:rsid w:val="008543E4"/>
    <w:rsid w:val="00854A72"/>
    <w:rsid w:val="00855B13"/>
    <w:rsid w:val="00856EC7"/>
    <w:rsid w:val="00856EE6"/>
    <w:rsid w:val="008571E3"/>
    <w:rsid w:val="00857F93"/>
    <w:rsid w:val="00860701"/>
    <w:rsid w:val="00861243"/>
    <w:rsid w:val="008616FE"/>
    <w:rsid w:val="00861B69"/>
    <w:rsid w:val="00862305"/>
    <w:rsid w:val="00862729"/>
    <w:rsid w:val="008628C8"/>
    <w:rsid w:val="008639E5"/>
    <w:rsid w:val="008643CB"/>
    <w:rsid w:val="00864553"/>
    <w:rsid w:val="00864880"/>
    <w:rsid w:val="00864AC0"/>
    <w:rsid w:val="00866530"/>
    <w:rsid w:val="00870170"/>
    <w:rsid w:val="008701A3"/>
    <w:rsid w:val="008706C0"/>
    <w:rsid w:val="00870E99"/>
    <w:rsid w:val="00871613"/>
    <w:rsid w:val="00871988"/>
    <w:rsid w:val="00871F47"/>
    <w:rsid w:val="00872088"/>
    <w:rsid w:val="00872BED"/>
    <w:rsid w:val="008736B0"/>
    <w:rsid w:val="0087563E"/>
    <w:rsid w:val="00875825"/>
    <w:rsid w:val="0087625B"/>
    <w:rsid w:val="00876472"/>
    <w:rsid w:val="008768F4"/>
    <w:rsid w:val="00880829"/>
    <w:rsid w:val="00880E82"/>
    <w:rsid w:val="0088271B"/>
    <w:rsid w:val="00882CB8"/>
    <w:rsid w:val="00884824"/>
    <w:rsid w:val="0088532A"/>
    <w:rsid w:val="008855DE"/>
    <w:rsid w:val="008856BD"/>
    <w:rsid w:val="0088602F"/>
    <w:rsid w:val="00886215"/>
    <w:rsid w:val="008864CB"/>
    <w:rsid w:val="008867AB"/>
    <w:rsid w:val="00886839"/>
    <w:rsid w:val="00886A55"/>
    <w:rsid w:val="00887B3C"/>
    <w:rsid w:val="00891A2A"/>
    <w:rsid w:val="00891EE0"/>
    <w:rsid w:val="0089259E"/>
    <w:rsid w:val="00892729"/>
    <w:rsid w:val="00892AD8"/>
    <w:rsid w:val="008932E1"/>
    <w:rsid w:val="00893309"/>
    <w:rsid w:val="00893549"/>
    <w:rsid w:val="00893B2B"/>
    <w:rsid w:val="00893BA7"/>
    <w:rsid w:val="00894DF4"/>
    <w:rsid w:val="00895229"/>
    <w:rsid w:val="0089570A"/>
    <w:rsid w:val="00895C43"/>
    <w:rsid w:val="00895DDD"/>
    <w:rsid w:val="00896E8F"/>
    <w:rsid w:val="00896F83"/>
    <w:rsid w:val="008970AC"/>
    <w:rsid w:val="0089762E"/>
    <w:rsid w:val="00897C43"/>
    <w:rsid w:val="00897E9B"/>
    <w:rsid w:val="008A0D0F"/>
    <w:rsid w:val="008A11A7"/>
    <w:rsid w:val="008A1455"/>
    <w:rsid w:val="008A27A9"/>
    <w:rsid w:val="008A2858"/>
    <w:rsid w:val="008A2CCB"/>
    <w:rsid w:val="008A2EFD"/>
    <w:rsid w:val="008A4099"/>
    <w:rsid w:val="008A510C"/>
    <w:rsid w:val="008A59E6"/>
    <w:rsid w:val="008A59E9"/>
    <w:rsid w:val="008A6115"/>
    <w:rsid w:val="008A6516"/>
    <w:rsid w:val="008A69B3"/>
    <w:rsid w:val="008A6B56"/>
    <w:rsid w:val="008A796E"/>
    <w:rsid w:val="008A79F0"/>
    <w:rsid w:val="008B0890"/>
    <w:rsid w:val="008B0B4A"/>
    <w:rsid w:val="008B268F"/>
    <w:rsid w:val="008B2CDB"/>
    <w:rsid w:val="008B38B9"/>
    <w:rsid w:val="008B50D1"/>
    <w:rsid w:val="008B5132"/>
    <w:rsid w:val="008B5503"/>
    <w:rsid w:val="008B682A"/>
    <w:rsid w:val="008B6F55"/>
    <w:rsid w:val="008B70D9"/>
    <w:rsid w:val="008B7585"/>
    <w:rsid w:val="008B7ACF"/>
    <w:rsid w:val="008C073C"/>
    <w:rsid w:val="008C1277"/>
    <w:rsid w:val="008C50D3"/>
    <w:rsid w:val="008C5312"/>
    <w:rsid w:val="008C58D4"/>
    <w:rsid w:val="008C648D"/>
    <w:rsid w:val="008C69D8"/>
    <w:rsid w:val="008C6D2A"/>
    <w:rsid w:val="008C6F10"/>
    <w:rsid w:val="008D0861"/>
    <w:rsid w:val="008D0CC9"/>
    <w:rsid w:val="008D0D4E"/>
    <w:rsid w:val="008D0EF5"/>
    <w:rsid w:val="008D1E1E"/>
    <w:rsid w:val="008D267D"/>
    <w:rsid w:val="008D29BB"/>
    <w:rsid w:val="008D2BA7"/>
    <w:rsid w:val="008D356B"/>
    <w:rsid w:val="008D3DF0"/>
    <w:rsid w:val="008D4A74"/>
    <w:rsid w:val="008D53ED"/>
    <w:rsid w:val="008D541C"/>
    <w:rsid w:val="008D5F2F"/>
    <w:rsid w:val="008D67E9"/>
    <w:rsid w:val="008D67F1"/>
    <w:rsid w:val="008D6A83"/>
    <w:rsid w:val="008D7C78"/>
    <w:rsid w:val="008E02DC"/>
    <w:rsid w:val="008E0438"/>
    <w:rsid w:val="008E0BE6"/>
    <w:rsid w:val="008E1308"/>
    <w:rsid w:val="008E22D2"/>
    <w:rsid w:val="008E234A"/>
    <w:rsid w:val="008E49CE"/>
    <w:rsid w:val="008E63D1"/>
    <w:rsid w:val="008E63DD"/>
    <w:rsid w:val="008E7263"/>
    <w:rsid w:val="008E778A"/>
    <w:rsid w:val="008F04AF"/>
    <w:rsid w:val="008F08A4"/>
    <w:rsid w:val="008F09E6"/>
    <w:rsid w:val="008F101A"/>
    <w:rsid w:val="008F231F"/>
    <w:rsid w:val="008F3AC5"/>
    <w:rsid w:val="008F40CF"/>
    <w:rsid w:val="008F484B"/>
    <w:rsid w:val="008F73EB"/>
    <w:rsid w:val="008F7D23"/>
    <w:rsid w:val="009012B3"/>
    <w:rsid w:val="00901537"/>
    <w:rsid w:val="00902CFC"/>
    <w:rsid w:val="00902ED6"/>
    <w:rsid w:val="009054DE"/>
    <w:rsid w:val="00905973"/>
    <w:rsid w:val="009059F4"/>
    <w:rsid w:val="00906DEB"/>
    <w:rsid w:val="00910B37"/>
    <w:rsid w:val="009111CC"/>
    <w:rsid w:val="00912215"/>
    <w:rsid w:val="00912C4D"/>
    <w:rsid w:val="0091394F"/>
    <w:rsid w:val="0091397D"/>
    <w:rsid w:val="00913E0B"/>
    <w:rsid w:val="00913E8C"/>
    <w:rsid w:val="0091519C"/>
    <w:rsid w:val="00915613"/>
    <w:rsid w:val="009156F7"/>
    <w:rsid w:val="00915B9F"/>
    <w:rsid w:val="00915D0B"/>
    <w:rsid w:val="0091735E"/>
    <w:rsid w:val="00917549"/>
    <w:rsid w:val="0091786E"/>
    <w:rsid w:val="009203DF"/>
    <w:rsid w:val="00920662"/>
    <w:rsid w:val="009221B6"/>
    <w:rsid w:val="0092251C"/>
    <w:rsid w:val="00922792"/>
    <w:rsid w:val="00923091"/>
    <w:rsid w:val="009233E4"/>
    <w:rsid w:val="00923493"/>
    <w:rsid w:val="009236C1"/>
    <w:rsid w:val="00923DA4"/>
    <w:rsid w:val="00924229"/>
    <w:rsid w:val="00924ADA"/>
    <w:rsid w:val="00924C83"/>
    <w:rsid w:val="00926004"/>
    <w:rsid w:val="00926B12"/>
    <w:rsid w:val="00927705"/>
    <w:rsid w:val="0092791D"/>
    <w:rsid w:val="00930F48"/>
    <w:rsid w:val="0093107D"/>
    <w:rsid w:val="00931A47"/>
    <w:rsid w:val="00931A7F"/>
    <w:rsid w:val="0093209D"/>
    <w:rsid w:val="009320AF"/>
    <w:rsid w:val="00932E01"/>
    <w:rsid w:val="00933FEE"/>
    <w:rsid w:val="009346C0"/>
    <w:rsid w:val="009358AC"/>
    <w:rsid w:val="00935C71"/>
    <w:rsid w:val="00936C69"/>
    <w:rsid w:val="00937E13"/>
    <w:rsid w:val="00940665"/>
    <w:rsid w:val="009407C0"/>
    <w:rsid w:val="00942C85"/>
    <w:rsid w:val="0094304D"/>
    <w:rsid w:val="0094358E"/>
    <w:rsid w:val="00943C93"/>
    <w:rsid w:val="00943F10"/>
    <w:rsid w:val="009444F4"/>
    <w:rsid w:val="0094507D"/>
    <w:rsid w:val="009450A9"/>
    <w:rsid w:val="009450C0"/>
    <w:rsid w:val="009451B3"/>
    <w:rsid w:val="009455BD"/>
    <w:rsid w:val="00945D7A"/>
    <w:rsid w:val="00945F24"/>
    <w:rsid w:val="00946AB7"/>
    <w:rsid w:val="00946CA4"/>
    <w:rsid w:val="00946E20"/>
    <w:rsid w:val="0094758C"/>
    <w:rsid w:val="009500BE"/>
    <w:rsid w:val="0095032B"/>
    <w:rsid w:val="00951800"/>
    <w:rsid w:val="00951BF9"/>
    <w:rsid w:val="00951E52"/>
    <w:rsid w:val="00951FE1"/>
    <w:rsid w:val="0095280F"/>
    <w:rsid w:val="00952D8A"/>
    <w:rsid w:val="009536BA"/>
    <w:rsid w:val="00953998"/>
    <w:rsid w:val="00953DA4"/>
    <w:rsid w:val="00956CAF"/>
    <w:rsid w:val="00957149"/>
    <w:rsid w:val="00957731"/>
    <w:rsid w:val="009578BC"/>
    <w:rsid w:val="00957D45"/>
    <w:rsid w:val="009604D5"/>
    <w:rsid w:val="00960567"/>
    <w:rsid w:val="009606D4"/>
    <w:rsid w:val="00960972"/>
    <w:rsid w:val="009609F3"/>
    <w:rsid w:val="00960AF6"/>
    <w:rsid w:val="00960C44"/>
    <w:rsid w:val="00960CEB"/>
    <w:rsid w:val="00960D03"/>
    <w:rsid w:val="00961320"/>
    <w:rsid w:val="009618C4"/>
    <w:rsid w:val="00962AEB"/>
    <w:rsid w:val="00963191"/>
    <w:rsid w:val="0096326C"/>
    <w:rsid w:val="00965811"/>
    <w:rsid w:val="00965EA3"/>
    <w:rsid w:val="00966ACA"/>
    <w:rsid w:val="00966BB3"/>
    <w:rsid w:val="00967A56"/>
    <w:rsid w:val="009701A9"/>
    <w:rsid w:val="0097109A"/>
    <w:rsid w:val="0097132C"/>
    <w:rsid w:val="00971727"/>
    <w:rsid w:val="009717EF"/>
    <w:rsid w:val="009717F1"/>
    <w:rsid w:val="00971995"/>
    <w:rsid w:val="00971D88"/>
    <w:rsid w:val="00971FF6"/>
    <w:rsid w:val="00972013"/>
    <w:rsid w:val="00972C89"/>
    <w:rsid w:val="00972E7D"/>
    <w:rsid w:val="00973F5B"/>
    <w:rsid w:val="009742BD"/>
    <w:rsid w:val="0097598B"/>
    <w:rsid w:val="00975B07"/>
    <w:rsid w:val="00976301"/>
    <w:rsid w:val="0097639E"/>
    <w:rsid w:val="00976737"/>
    <w:rsid w:val="00976CBC"/>
    <w:rsid w:val="009773E9"/>
    <w:rsid w:val="00977540"/>
    <w:rsid w:val="0097762A"/>
    <w:rsid w:val="00977848"/>
    <w:rsid w:val="00977D4D"/>
    <w:rsid w:val="00980A36"/>
    <w:rsid w:val="009821AF"/>
    <w:rsid w:val="0098241D"/>
    <w:rsid w:val="00982A4B"/>
    <w:rsid w:val="009831E4"/>
    <w:rsid w:val="00983445"/>
    <w:rsid w:val="009839AF"/>
    <w:rsid w:val="0098499D"/>
    <w:rsid w:val="009867D2"/>
    <w:rsid w:val="00986E9F"/>
    <w:rsid w:val="0098711F"/>
    <w:rsid w:val="00987771"/>
    <w:rsid w:val="00987AB9"/>
    <w:rsid w:val="009901CB"/>
    <w:rsid w:val="00990CCB"/>
    <w:rsid w:val="009914EA"/>
    <w:rsid w:val="00991B38"/>
    <w:rsid w:val="00992053"/>
    <w:rsid w:val="0099210A"/>
    <w:rsid w:val="009926B8"/>
    <w:rsid w:val="00992CA6"/>
    <w:rsid w:val="00993AA1"/>
    <w:rsid w:val="009952A1"/>
    <w:rsid w:val="00995EB0"/>
    <w:rsid w:val="00996AAD"/>
    <w:rsid w:val="00997761"/>
    <w:rsid w:val="00997A93"/>
    <w:rsid w:val="009A10FC"/>
    <w:rsid w:val="009A1E7D"/>
    <w:rsid w:val="009A2EAE"/>
    <w:rsid w:val="009A3F5A"/>
    <w:rsid w:val="009A48D5"/>
    <w:rsid w:val="009A4AC7"/>
    <w:rsid w:val="009A4C79"/>
    <w:rsid w:val="009A5618"/>
    <w:rsid w:val="009A5CF1"/>
    <w:rsid w:val="009A63E7"/>
    <w:rsid w:val="009A66CE"/>
    <w:rsid w:val="009A6A41"/>
    <w:rsid w:val="009A6EFE"/>
    <w:rsid w:val="009A77F3"/>
    <w:rsid w:val="009B081D"/>
    <w:rsid w:val="009B0D80"/>
    <w:rsid w:val="009B11D6"/>
    <w:rsid w:val="009B2597"/>
    <w:rsid w:val="009B26D3"/>
    <w:rsid w:val="009B3728"/>
    <w:rsid w:val="009B3D44"/>
    <w:rsid w:val="009B3E12"/>
    <w:rsid w:val="009B40B4"/>
    <w:rsid w:val="009B4138"/>
    <w:rsid w:val="009B414B"/>
    <w:rsid w:val="009B50FC"/>
    <w:rsid w:val="009B5236"/>
    <w:rsid w:val="009B6146"/>
    <w:rsid w:val="009B6557"/>
    <w:rsid w:val="009B706C"/>
    <w:rsid w:val="009B72AB"/>
    <w:rsid w:val="009B73BB"/>
    <w:rsid w:val="009C005D"/>
    <w:rsid w:val="009C01D9"/>
    <w:rsid w:val="009C1246"/>
    <w:rsid w:val="009C1E4A"/>
    <w:rsid w:val="009C2913"/>
    <w:rsid w:val="009C4027"/>
    <w:rsid w:val="009C48EE"/>
    <w:rsid w:val="009C4C78"/>
    <w:rsid w:val="009C4DFF"/>
    <w:rsid w:val="009C5079"/>
    <w:rsid w:val="009C5276"/>
    <w:rsid w:val="009C61BD"/>
    <w:rsid w:val="009C6FB7"/>
    <w:rsid w:val="009C7168"/>
    <w:rsid w:val="009C72C1"/>
    <w:rsid w:val="009D03DE"/>
    <w:rsid w:val="009D0FCA"/>
    <w:rsid w:val="009D131A"/>
    <w:rsid w:val="009D1E32"/>
    <w:rsid w:val="009D2D1D"/>
    <w:rsid w:val="009D2F7B"/>
    <w:rsid w:val="009D2FD1"/>
    <w:rsid w:val="009D325E"/>
    <w:rsid w:val="009D343E"/>
    <w:rsid w:val="009D38BD"/>
    <w:rsid w:val="009D4779"/>
    <w:rsid w:val="009D54A6"/>
    <w:rsid w:val="009D5FF0"/>
    <w:rsid w:val="009D6235"/>
    <w:rsid w:val="009D6652"/>
    <w:rsid w:val="009D6CED"/>
    <w:rsid w:val="009D731A"/>
    <w:rsid w:val="009D7340"/>
    <w:rsid w:val="009D778B"/>
    <w:rsid w:val="009D7B36"/>
    <w:rsid w:val="009E1640"/>
    <w:rsid w:val="009E2B71"/>
    <w:rsid w:val="009E2E8F"/>
    <w:rsid w:val="009E3259"/>
    <w:rsid w:val="009E44CE"/>
    <w:rsid w:val="009E594C"/>
    <w:rsid w:val="009E5FE9"/>
    <w:rsid w:val="009E60B8"/>
    <w:rsid w:val="009E6465"/>
    <w:rsid w:val="009E7062"/>
    <w:rsid w:val="009E74CF"/>
    <w:rsid w:val="009F1993"/>
    <w:rsid w:val="009F2211"/>
    <w:rsid w:val="009F3165"/>
    <w:rsid w:val="009F3830"/>
    <w:rsid w:val="009F3E74"/>
    <w:rsid w:val="009F6564"/>
    <w:rsid w:val="009F7A25"/>
    <w:rsid w:val="009F7BF7"/>
    <w:rsid w:val="00A006FA"/>
    <w:rsid w:val="00A00DD5"/>
    <w:rsid w:val="00A00E87"/>
    <w:rsid w:val="00A014B9"/>
    <w:rsid w:val="00A014CE"/>
    <w:rsid w:val="00A01581"/>
    <w:rsid w:val="00A01662"/>
    <w:rsid w:val="00A01E8A"/>
    <w:rsid w:val="00A025E9"/>
    <w:rsid w:val="00A02BE3"/>
    <w:rsid w:val="00A03C2C"/>
    <w:rsid w:val="00A0629D"/>
    <w:rsid w:val="00A06C23"/>
    <w:rsid w:val="00A07C5C"/>
    <w:rsid w:val="00A07EC7"/>
    <w:rsid w:val="00A105D0"/>
    <w:rsid w:val="00A10AE0"/>
    <w:rsid w:val="00A12834"/>
    <w:rsid w:val="00A135F1"/>
    <w:rsid w:val="00A138BE"/>
    <w:rsid w:val="00A13930"/>
    <w:rsid w:val="00A13D2B"/>
    <w:rsid w:val="00A13EEA"/>
    <w:rsid w:val="00A14964"/>
    <w:rsid w:val="00A14AFB"/>
    <w:rsid w:val="00A14CC6"/>
    <w:rsid w:val="00A14DDB"/>
    <w:rsid w:val="00A17739"/>
    <w:rsid w:val="00A17D4A"/>
    <w:rsid w:val="00A17FA1"/>
    <w:rsid w:val="00A20892"/>
    <w:rsid w:val="00A20A66"/>
    <w:rsid w:val="00A215C7"/>
    <w:rsid w:val="00A22021"/>
    <w:rsid w:val="00A22112"/>
    <w:rsid w:val="00A2273B"/>
    <w:rsid w:val="00A233E0"/>
    <w:rsid w:val="00A237A0"/>
    <w:rsid w:val="00A24858"/>
    <w:rsid w:val="00A24B9F"/>
    <w:rsid w:val="00A24F8D"/>
    <w:rsid w:val="00A2532B"/>
    <w:rsid w:val="00A253EE"/>
    <w:rsid w:val="00A261B6"/>
    <w:rsid w:val="00A278CF"/>
    <w:rsid w:val="00A30131"/>
    <w:rsid w:val="00A3067B"/>
    <w:rsid w:val="00A3067F"/>
    <w:rsid w:val="00A30902"/>
    <w:rsid w:val="00A31365"/>
    <w:rsid w:val="00A31C04"/>
    <w:rsid w:val="00A322FE"/>
    <w:rsid w:val="00A3267A"/>
    <w:rsid w:val="00A33254"/>
    <w:rsid w:val="00A354FE"/>
    <w:rsid w:val="00A35518"/>
    <w:rsid w:val="00A35EC0"/>
    <w:rsid w:val="00A37322"/>
    <w:rsid w:val="00A40216"/>
    <w:rsid w:val="00A4090D"/>
    <w:rsid w:val="00A426A4"/>
    <w:rsid w:val="00A44FF5"/>
    <w:rsid w:val="00A45981"/>
    <w:rsid w:val="00A4657F"/>
    <w:rsid w:val="00A4695A"/>
    <w:rsid w:val="00A50053"/>
    <w:rsid w:val="00A51A81"/>
    <w:rsid w:val="00A523DF"/>
    <w:rsid w:val="00A52661"/>
    <w:rsid w:val="00A52A7D"/>
    <w:rsid w:val="00A53692"/>
    <w:rsid w:val="00A53FD3"/>
    <w:rsid w:val="00A5478E"/>
    <w:rsid w:val="00A5590F"/>
    <w:rsid w:val="00A5597F"/>
    <w:rsid w:val="00A55BD2"/>
    <w:rsid w:val="00A561F8"/>
    <w:rsid w:val="00A56532"/>
    <w:rsid w:val="00A56FEB"/>
    <w:rsid w:val="00A6005D"/>
    <w:rsid w:val="00A606B6"/>
    <w:rsid w:val="00A619A4"/>
    <w:rsid w:val="00A62A42"/>
    <w:rsid w:val="00A63190"/>
    <w:rsid w:val="00A63A24"/>
    <w:rsid w:val="00A6404B"/>
    <w:rsid w:val="00A65625"/>
    <w:rsid w:val="00A65715"/>
    <w:rsid w:val="00A667F3"/>
    <w:rsid w:val="00A66B0B"/>
    <w:rsid w:val="00A7071C"/>
    <w:rsid w:val="00A71606"/>
    <w:rsid w:val="00A71F79"/>
    <w:rsid w:val="00A720D9"/>
    <w:rsid w:val="00A72867"/>
    <w:rsid w:val="00A72E4C"/>
    <w:rsid w:val="00A73247"/>
    <w:rsid w:val="00A73DB2"/>
    <w:rsid w:val="00A740D1"/>
    <w:rsid w:val="00A74414"/>
    <w:rsid w:val="00A747AE"/>
    <w:rsid w:val="00A753F9"/>
    <w:rsid w:val="00A760FE"/>
    <w:rsid w:val="00A76C19"/>
    <w:rsid w:val="00A804E3"/>
    <w:rsid w:val="00A8075D"/>
    <w:rsid w:val="00A8174A"/>
    <w:rsid w:val="00A81C68"/>
    <w:rsid w:val="00A81D85"/>
    <w:rsid w:val="00A82102"/>
    <w:rsid w:val="00A8221D"/>
    <w:rsid w:val="00A82F11"/>
    <w:rsid w:val="00A82FD7"/>
    <w:rsid w:val="00A8311C"/>
    <w:rsid w:val="00A832EC"/>
    <w:rsid w:val="00A832F4"/>
    <w:rsid w:val="00A83E27"/>
    <w:rsid w:val="00A84E62"/>
    <w:rsid w:val="00A851CE"/>
    <w:rsid w:val="00A859C9"/>
    <w:rsid w:val="00A87CF2"/>
    <w:rsid w:val="00A903BA"/>
    <w:rsid w:val="00A920A1"/>
    <w:rsid w:val="00A92142"/>
    <w:rsid w:val="00A92BC2"/>
    <w:rsid w:val="00A93096"/>
    <w:rsid w:val="00A93CE7"/>
    <w:rsid w:val="00A93E68"/>
    <w:rsid w:val="00A94848"/>
    <w:rsid w:val="00A95467"/>
    <w:rsid w:val="00A96DD6"/>
    <w:rsid w:val="00AA05F6"/>
    <w:rsid w:val="00AA126F"/>
    <w:rsid w:val="00AA2F72"/>
    <w:rsid w:val="00AA345C"/>
    <w:rsid w:val="00AA4998"/>
    <w:rsid w:val="00AA4B4C"/>
    <w:rsid w:val="00AA567E"/>
    <w:rsid w:val="00AA7127"/>
    <w:rsid w:val="00AA7A45"/>
    <w:rsid w:val="00AB06F6"/>
    <w:rsid w:val="00AB0A10"/>
    <w:rsid w:val="00AB190B"/>
    <w:rsid w:val="00AB1BDF"/>
    <w:rsid w:val="00AB1E8B"/>
    <w:rsid w:val="00AB1E94"/>
    <w:rsid w:val="00AB1EA3"/>
    <w:rsid w:val="00AB298C"/>
    <w:rsid w:val="00AB3945"/>
    <w:rsid w:val="00AB44D7"/>
    <w:rsid w:val="00AB47ED"/>
    <w:rsid w:val="00AB5295"/>
    <w:rsid w:val="00AB595E"/>
    <w:rsid w:val="00AB5C19"/>
    <w:rsid w:val="00AB7339"/>
    <w:rsid w:val="00AC018F"/>
    <w:rsid w:val="00AC0376"/>
    <w:rsid w:val="00AC0B23"/>
    <w:rsid w:val="00AC0E32"/>
    <w:rsid w:val="00AC11CC"/>
    <w:rsid w:val="00AC174E"/>
    <w:rsid w:val="00AC1A00"/>
    <w:rsid w:val="00AC1E0F"/>
    <w:rsid w:val="00AC31C8"/>
    <w:rsid w:val="00AC37DF"/>
    <w:rsid w:val="00AC44E1"/>
    <w:rsid w:val="00AC473E"/>
    <w:rsid w:val="00AC5AAD"/>
    <w:rsid w:val="00AC5E34"/>
    <w:rsid w:val="00AC64D1"/>
    <w:rsid w:val="00AC6A41"/>
    <w:rsid w:val="00AC6B36"/>
    <w:rsid w:val="00AC6EF3"/>
    <w:rsid w:val="00AC6FB1"/>
    <w:rsid w:val="00AC7739"/>
    <w:rsid w:val="00AC7AA3"/>
    <w:rsid w:val="00AD02EB"/>
    <w:rsid w:val="00AD094E"/>
    <w:rsid w:val="00AD13B9"/>
    <w:rsid w:val="00AD1FCE"/>
    <w:rsid w:val="00AD250B"/>
    <w:rsid w:val="00AD2EDD"/>
    <w:rsid w:val="00AD30E7"/>
    <w:rsid w:val="00AD31F0"/>
    <w:rsid w:val="00AD5264"/>
    <w:rsid w:val="00AD5D57"/>
    <w:rsid w:val="00AD624D"/>
    <w:rsid w:val="00AD6544"/>
    <w:rsid w:val="00AD6619"/>
    <w:rsid w:val="00AD6F1D"/>
    <w:rsid w:val="00AE03EF"/>
    <w:rsid w:val="00AE0F30"/>
    <w:rsid w:val="00AE0FB8"/>
    <w:rsid w:val="00AE1B44"/>
    <w:rsid w:val="00AE1E72"/>
    <w:rsid w:val="00AE22EC"/>
    <w:rsid w:val="00AE2895"/>
    <w:rsid w:val="00AE2F99"/>
    <w:rsid w:val="00AE30C6"/>
    <w:rsid w:val="00AE6241"/>
    <w:rsid w:val="00AE6955"/>
    <w:rsid w:val="00AE74A1"/>
    <w:rsid w:val="00AE776E"/>
    <w:rsid w:val="00AF02DF"/>
    <w:rsid w:val="00AF037D"/>
    <w:rsid w:val="00AF0A5E"/>
    <w:rsid w:val="00AF1F30"/>
    <w:rsid w:val="00AF24F6"/>
    <w:rsid w:val="00AF2FF8"/>
    <w:rsid w:val="00AF4DF2"/>
    <w:rsid w:val="00AF5D33"/>
    <w:rsid w:val="00AF6543"/>
    <w:rsid w:val="00AF7319"/>
    <w:rsid w:val="00AF74ED"/>
    <w:rsid w:val="00B00264"/>
    <w:rsid w:val="00B0059A"/>
    <w:rsid w:val="00B00663"/>
    <w:rsid w:val="00B007C7"/>
    <w:rsid w:val="00B0118F"/>
    <w:rsid w:val="00B026F5"/>
    <w:rsid w:val="00B029E2"/>
    <w:rsid w:val="00B02B8C"/>
    <w:rsid w:val="00B03631"/>
    <w:rsid w:val="00B038B0"/>
    <w:rsid w:val="00B049D3"/>
    <w:rsid w:val="00B05317"/>
    <w:rsid w:val="00B05F9B"/>
    <w:rsid w:val="00B06226"/>
    <w:rsid w:val="00B068CF"/>
    <w:rsid w:val="00B06A2D"/>
    <w:rsid w:val="00B06FD5"/>
    <w:rsid w:val="00B07652"/>
    <w:rsid w:val="00B07BDE"/>
    <w:rsid w:val="00B07D04"/>
    <w:rsid w:val="00B11118"/>
    <w:rsid w:val="00B11CEA"/>
    <w:rsid w:val="00B1297B"/>
    <w:rsid w:val="00B12D9D"/>
    <w:rsid w:val="00B15087"/>
    <w:rsid w:val="00B151D6"/>
    <w:rsid w:val="00B171F0"/>
    <w:rsid w:val="00B1751A"/>
    <w:rsid w:val="00B203C2"/>
    <w:rsid w:val="00B21218"/>
    <w:rsid w:val="00B2182B"/>
    <w:rsid w:val="00B21974"/>
    <w:rsid w:val="00B21D25"/>
    <w:rsid w:val="00B22173"/>
    <w:rsid w:val="00B22EF8"/>
    <w:rsid w:val="00B23535"/>
    <w:rsid w:val="00B23840"/>
    <w:rsid w:val="00B244C6"/>
    <w:rsid w:val="00B24734"/>
    <w:rsid w:val="00B251FE"/>
    <w:rsid w:val="00B260FA"/>
    <w:rsid w:val="00B266A5"/>
    <w:rsid w:val="00B2715B"/>
    <w:rsid w:val="00B27955"/>
    <w:rsid w:val="00B27A03"/>
    <w:rsid w:val="00B27F67"/>
    <w:rsid w:val="00B30926"/>
    <w:rsid w:val="00B31468"/>
    <w:rsid w:val="00B314AD"/>
    <w:rsid w:val="00B316F7"/>
    <w:rsid w:val="00B3188A"/>
    <w:rsid w:val="00B31F0F"/>
    <w:rsid w:val="00B328F3"/>
    <w:rsid w:val="00B32E9B"/>
    <w:rsid w:val="00B335A6"/>
    <w:rsid w:val="00B336C3"/>
    <w:rsid w:val="00B3376E"/>
    <w:rsid w:val="00B33872"/>
    <w:rsid w:val="00B340F5"/>
    <w:rsid w:val="00B34192"/>
    <w:rsid w:val="00B341E0"/>
    <w:rsid w:val="00B34DB2"/>
    <w:rsid w:val="00B354E2"/>
    <w:rsid w:val="00B35795"/>
    <w:rsid w:val="00B36B20"/>
    <w:rsid w:val="00B37092"/>
    <w:rsid w:val="00B374B5"/>
    <w:rsid w:val="00B37D53"/>
    <w:rsid w:val="00B41E72"/>
    <w:rsid w:val="00B43BA0"/>
    <w:rsid w:val="00B445E1"/>
    <w:rsid w:val="00B45744"/>
    <w:rsid w:val="00B47379"/>
    <w:rsid w:val="00B47382"/>
    <w:rsid w:val="00B473E1"/>
    <w:rsid w:val="00B47507"/>
    <w:rsid w:val="00B47AB0"/>
    <w:rsid w:val="00B47DDC"/>
    <w:rsid w:val="00B500FA"/>
    <w:rsid w:val="00B506F1"/>
    <w:rsid w:val="00B50B89"/>
    <w:rsid w:val="00B52AD9"/>
    <w:rsid w:val="00B52C44"/>
    <w:rsid w:val="00B5435C"/>
    <w:rsid w:val="00B5537B"/>
    <w:rsid w:val="00B5538A"/>
    <w:rsid w:val="00B557D4"/>
    <w:rsid w:val="00B56882"/>
    <w:rsid w:val="00B579B6"/>
    <w:rsid w:val="00B57B0E"/>
    <w:rsid w:val="00B626C1"/>
    <w:rsid w:val="00B62FC2"/>
    <w:rsid w:val="00B63566"/>
    <w:rsid w:val="00B64049"/>
    <w:rsid w:val="00B644DE"/>
    <w:rsid w:val="00B64A3C"/>
    <w:rsid w:val="00B64B7D"/>
    <w:rsid w:val="00B653FF"/>
    <w:rsid w:val="00B656E8"/>
    <w:rsid w:val="00B669DE"/>
    <w:rsid w:val="00B670B3"/>
    <w:rsid w:val="00B67EBB"/>
    <w:rsid w:val="00B7043D"/>
    <w:rsid w:val="00B708B7"/>
    <w:rsid w:val="00B70BB6"/>
    <w:rsid w:val="00B70E1F"/>
    <w:rsid w:val="00B71059"/>
    <w:rsid w:val="00B715A8"/>
    <w:rsid w:val="00B71774"/>
    <w:rsid w:val="00B72CBC"/>
    <w:rsid w:val="00B73198"/>
    <w:rsid w:val="00B73243"/>
    <w:rsid w:val="00B7325D"/>
    <w:rsid w:val="00B73B61"/>
    <w:rsid w:val="00B73EAF"/>
    <w:rsid w:val="00B7452B"/>
    <w:rsid w:val="00B74F90"/>
    <w:rsid w:val="00B74FF7"/>
    <w:rsid w:val="00B76462"/>
    <w:rsid w:val="00B76ADF"/>
    <w:rsid w:val="00B77C5B"/>
    <w:rsid w:val="00B804A7"/>
    <w:rsid w:val="00B8062A"/>
    <w:rsid w:val="00B80653"/>
    <w:rsid w:val="00B808C6"/>
    <w:rsid w:val="00B80A06"/>
    <w:rsid w:val="00B80BA0"/>
    <w:rsid w:val="00B81BC5"/>
    <w:rsid w:val="00B82883"/>
    <w:rsid w:val="00B83105"/>
    <w:rsid w:val="00B83487"/>
    <w:rsid w:val="00B85BE8"/>
    <w:rsid w:val="00B85BF9"/>
    <w:rsid w:val="00B85EB6"/>
    <w:rsid w:val="00B860F6"/>
    <w:rsid w:val="00B86124"/>
    <w:rsid w:val="00B8620D"/>
    <w:rsid w:val="00B865A0"/>
    <w:rsid w:val="00B87109"/>
    <w:rsid w:val="00B872BD"/>
    <w:rsid w:val="00B872EC"/>
    <w:rsid w:val="00B8788F"/>
    <w:rsid w:val="00B87EEB"/>
    <w:rsid w:val="00B90330"/>
    <w:rsid w:val="00B9047A"/>
    <w:rsid w:val="00B905C4"/>
    <w:rsid w:val="00B91ABE"/>
    <w:rsid w:val="00B92212"/>
    <w:rsid w:val="00B9274A"/>
    <w:rsid w:val="00B93167"/>
    <w:rsid w:val="00B93723"/>
    <w:rsid w:val="00B93CB2"/>
    <w:rsid w:val="00B947E4"/>
    <w:rsid w:val="00B94D80"/>
    <w:rsid w:val="00B95D3F"/>
    <w:rsid w:val="00B96170"/>
    <w:rsid w:val="00B962E2"/>
    <w:rsid w:val="00B969EE"/>
    <w:rsid w:val="00B96EFF"/>
    <w:rsid w:val="00BA02B1"/>
    <w:rsid w:val="00BA0981"/>
    <w:rsid w:val="00BA0F54"/>
    <w:rsid w:val="00BA16D5"/>
    <w:rsid w:val="00BA1B72"/>
    <w:rsid w:val="00BA304B"/>
    <w:rsid w:val="00BA3289"/>
    <w:rsid w:val="00BA32A4"/>
    <w:rsid w:val="00BA39FD"/>
    <w:rsid w:val="00BA4C10"/>
    <w:rsid w:val="00BA50EF"/>
    <w:rsid w:val="00BA603F"/>
    <w:rsid w:val="00BA69C8"/>
    <w:rsid w:val="00BA7715"/>
    <w:rsid w:val="00BB135C"/>
    <w:rsid w:val="00BB17B7"/>
    <w:rsid w:val="00BB27C0"/>
    <w:rsid w:val="00BB39B6"/>
    <w:rsid w:val="00BB5668"/>
    <w:rsid w:val="00BB5F33"/>
    <w:rsid w:val="00BB6682"/>
    <w:rsid w:val="00BB7730"/>
    <w:rsid w:val="00BC044C"/>
    <w:rsid w:val="00BC06D7"/>
    <w:rsid w:val="00BC090A"/>
    <w:rsid w:val="00BC0AE3"/>
    <w:rsid w:val="00BC260C"/>
    <w:rsid w:val="00BC2771"/>
    <w:rsid w:val="00BC2EC8"/>
    <w:rsid w:val="00BC6870"/>
    <w:rsid w:val="00BC6EE0"/>
    <w:rsid w:val="00BC7CE3"/>
    <w:rsid w:val="00BD0100"/>
    <w:rsid w:val="00BD04E6"/>
    <w:rsid w:val="00BD1173"/>
    <w:rsid w:val="00BD1A88"/>
    <w:rsid w:val="00BD1CFE"/>
    <w:rsid w:val="00BD295B"/>
    <w:rsid w:val="00BD2A55"/>
    <w:rsid w:val="00BD3853"/>
    <w:rsid w:val="00BD6BE3"/>
    <w:rsid w:val="00BE0123"/>
    <w:rsid w:val="00BE0E59"/>
    <w:rsid w:val="00BE14A9"/>
    <w:rsid w:val="00BE19EA"/>
    <w:rsid w:val="00BE3884"/>
    <w:rsid w:val="00BE3DBD"/>
    <w:rsid w:val="00BE58E9"/>
    <w:rsid w:val="00BE608E"/>
    <w:rsid w:val="00BE649A"/>
    <w:rsid w:val="00BF0D8F"/>
    <w:rsid w:val="00BF27B7"/>
    <w:rsid w:val="00BF2809"/>
    <w:rsid w:val="00BF2BD5"/>
    <w:rsid w:val="00BF2C71"/>
    <w:rsid w:val="00BF301D"/>
    <w:rsid w:val="00BF4257"/>
    <w:rsid w:val="00BF4516"/>
    <w:rsid w:val="00BF586D"/>
    <w:rsid w:val="00BF621A"/>
    <w:rsid w:val="00BF6CD7"/>
    <w:rsid w:val="00BF70EB"/>
    <w:rsid w:val="00BF771A"/>
    <w:rsid w:val="00C01BDB"/>
    <w:rsid w:val="00C02947"/>
    <w:rsid w:val="00C0301E"/>
    <w:rsid w:val="00C0321D"/>
    <w:rsid w:val="00C0405B"/>
    <w:rsid w:val="00C0474C"/>
    <w:rsid w:val="00C04F09"/>
    <w:rsid w:val="00C070B9"/>
    <w:rsid w:val="00C1106E"/>
    <w:rsid w:val="00C11AC6"/>
    <w:rsid w:val="00C120CF"/>
    <w:rsid w:val="00C137CC"/>
    <w:rsid w:val="00C138DD"/>
    <w:rsid w:val="00C143CA"/>
    <w:rsid w:val="00C14501"/>
    <w:rsid w:val="00C14C10"/>
    <w:rsid w:val="00C14D29"/>
    <w:rsid w:val="00C1509A"/>
    <w:rsid w:val="00C157B1"/>
    <w:rsid w:val="00C161F8"/>
    <w:rsid w:val="00C171BB"/>
    <w:rsid w:val="00C17920"/>
    <w:rsid w:val="00C179DF"/>
    <w:rsid w:val="00C17FC1"/>
    <w:rsid w:val="00C2047B"/>
    <w:rsid w:val="00C21AC0"/>
    <w:rsid w:val="00C21C97"/>
    <w:rsid w:val="00C21E76"/>
    <w:rsid w:val="00C21EE1"/>
    <w:rsid w:val="00C22AB1"/>
    <w:rsid w:val="00C23900"/>
    <w:rsid w:val="00C23AA0"/>
    <w:rsid w:val="00C243E7"/>
    <w:rsid w:val="00C24DCE"/>
    <w:rsid w:val="00C250A1"/>
    <w:rsid w:val="00C2519E"/>
    <w:rsid w:val="00C263D3"/>
    <w:rsid w:val="00C26774"/>
    <w:rsid w:val="00C268BA"/>
    <w:rsid w:val="00C26FCB"/>
    <w:rsid w:val="00C27B86"/>
    <w:rsid w:val="00C309B1"/>
    <w:rsid w:val="00C312B1"/>
    <w:rsid w:val="00C31969"/>
    <w:rsid w:val="00C32543"/>
    <w:rsid w:val="00C330A4"/>
    <w:rsid w:val="00C332FB"/>
    <w:rsid w:val="00C33CDB"/>
    <w:rsid w:val="00C34558"/>
    <w:rsid w:val="00C34B65"/>
    <w:rsid w:val="00C3502D"/>
    <w:rsid w:val="00C36831"/>
    <w:rsid w:val="00C37784"/>
    <w:rsid w:val="00C4036D"/>
    <w:rsid w:val="00C41084"/>
    <w:rsid w:val="00C413FB"/>
    <w:rsid w:val="00C421E4"/>
    <w:rsid w:val="00C4281F"/>
    <w:rsid w:val="00C42C82"/>
    <w:rsid w:val="00C42D57"/>
    <w:rsid w:val="00C444D2"/>
    <w:rsid w:val="00C44FCF"/>
    <w:rsid w:val="00C45214"/>
    <w:rsid w:val="00C469C4"/>
    <w:rsid w:val="00C470D9"/>
    <w:rsid w:val="00C47A89"/>
    <w:rsid w:val="00C47BAA"/>
    <w:rsid w:val="00C47EB1"/>
    <w:rsid w:val="00C51D28"/>
    <w:rsid w:val="00C51EF4"/>
    <w:rsid w:val="00C51FE1"/>
    <w:rsid w:val="00C521B3"/>
    <w:rsid w:val="00C524A8"/>
    <w:rsid w:val="00C524E9"/>
    <w:rsid w:val="00C5269A"/>
    <w:rsid w:val="00C530DA"/>
    <w:rsid w:val="00C53C7D"/>
    <w:rsid w:val="00C54CF9"/>
    <w:rsid w:val="00C55634"/>
    <w:rsid w:val="00C56096"/>
    <w:rsid w:val="00C569E4"/>
    <w:rsid w:val="00C56FA3"/>
    <w:rsid w:val="00C57B0E"/>
    <w:rsid w:val="00C607AE"/>
    <w:rsid w:val="00C608A2"/>
    <w:rsid w:val="00C6185E"/>
    <w:rsid w:val="00C61D8C"/>
    <w:rsid w:val="00C61E78"/>
    <w:rsid w:val="00C61F51"/>
    <w:rsid w:val="00C62A1F"/>
    <w:rsid w:val="00C6352A"/>
    <w:rsid w:val="00C6403F"/>
    <w:rsid w:val="00C647B8"/>
    <w:rsid w:val="00C64C6E"/>
    <w:rsid w:val="00C65721"/>
    <w:rsid w:val="00C65C01"/>
    <w:rsid w:val="00C65F7B"/>
    <w:rsid w:val="00C671CB"/>
    <w:rsid w:val="00C677D4"/>
    <w:rsid w:val="00C67C7E"/>
    <w:rsid w:val="00C67F69"/>
    <w:rsid w:val="00C70244"/>
    <w:rsid w:val="00C70307"/>
    <w:rsid w:val="00C704A5"/>
    <w:rsid w:val="00C70E39"/>
    <w:rsid w:val="00C718BC"/>
    <w:rsid w:val="00C7217A"/>
    <w:rsid w:val="00C72A01"/>
    <w:rsid w:val="00C72A90"/>
    <w:rsid w:val="00C73234"/>
    <w:rsid w:val="00C73534"/>
    <w:rsid w:val="00C73FC6"/>
    <w:rsid w:val="00C75734"/>
    <w:rsid w:val="00C75BA8"/>
    <w:rsid w:val="00C7684A"/>
    <w:rsid w:val="00C76EBF"/>
    <w:rsid w:val="00C774E6"/>
    <w:rsid w:val="00C77543"/>
    <w:rsid w:val="00C778CD"/>
    <w:rsid w:val="00C806F7"/>
    <w:rsid w:val="00C80896"/>
    <w:rsid w:val="00C80AE3"/>
    <w:rsid w:val="00C80D03"/>
    <w:rsid w:val="00C83BB3"/>
    <w:rsid w:val="00C83EDB"/>
    <w:rsid w:val="00C841C8"/>
    <w:rsid w:val="00C842CB"/>
    <w:rsid w:val="00C84A98"/>
    <w:rsid w:val="00C84B87"/>
    <w:rsid w:val="00C856CC"/>
    <w:rsid w:val="00C86242"/>
    <w:rsid w:val="00C86887"/>
    <w:rsid w:val="00C86993"/>
    <w:rsid w:val="00C8740E"/>
    <w:rsid w:val="00C8794D"/>
    <w:rsid w:val="00C91EBC"/>
    <w:rsid w:val="00C920D4"/>
    <w:rsid w:val="00C92777"/>
    <w:rsid w:val="00C936C8"/>
    <w:rsid w:val="00C94A71"/>
    <w:rsid w:val="00C95BFB"/>
    <w:rsid w:val="00C96323"/>
    <w:rsid w:val="00C96BC5"/>
    <w:rsid w:val="00C971B8"/>
    <w:rsid w:val="00CA0D74"/>
    <w:rsid w:val="00CA14FD"/>
    <w:rsid w:val="00CA1618"/>
    <w:rsid w:val="00CA1933"/>
    <w:rsid w:val="00CA2CE1"/>
    <w:rsid w:val="00CA35CD"/>
    <w:rsid w:val="00CA3618"/>
    <w:rsid w:val="00CA3B4E"/>
    <w:rsid w:val="00CA469E"/>
    <w:rsid w:val="00CA4B91"/>
    <w:rsid w:val="00CA5E57"/>
    <w:rsid w:val="00CA6819"/>
    <w:rsid w:val="00CA68A3"/>
    <w:rsid w:val="00CA6EA5"/>
    <w:rsid w:val="00CA79C8"/>
    <w:rsid w:val="00CA7BB0"/>
    <w:rsid w:val="00CB0BF5"/>
    <w:rsid w:val="00CB13E7"/>
    <w:rsid w:val="00CB1800"/>
    <w:rsid w:val="00CB3428"/>
    <w:rsid w:val="00CB4535"/>
    <w:rsid w:val="00CB520B"/>
    <w:rsid w:val="00CB531C"/>
    <w:rsid w:val="00CB60E2"/>
    <w:rsid w:val="00CB616B"/>
    <w:rsid w:val="00CB6578"/>
    <w:rsid w:val="00CB6615"/>
    <w:rsid w:val="00CB6E33"/>
    <w:rsid w:val="00CB7226"/>
    <w:rsid w:val="00CB76A4"/>
    <w:rsid w:val="00CC0345"/>
    <w:rsid w:val="00CC1605"/>
    <w:rsid w:val="00CC1D48"/>
    <w:rsid w:val="00CC2514"/>
    <w:rsid w:val="00CC25E3"/>
    <w:rsid w:val="00CC2D05"/>
    <w:rsid w:val="00CC309E"/>
    <w:rsid w:val="00CC35C5"/>
    <w:rsid w:val="00CC37A8"/>
    <w:rsid w:val="00CC39D3"/>
    <w:rsid w:val="00CC3B06"/>
    <w:rsid w:val="00CC5A1F"/>
    <w:rsid w:val="00CC5AE9"/>
    <w:rsid w:val="00CC645E"/>
    <w:rsid w:val="00CC64DB"/>
    <w:rsid w:val="00CC6709"/>
    <w:rsid w:val="00CC7157"/>
    <w:rsid w:val="00CD1168"/>
    <w:rsid w:val="00CD1710"/>
    <w:rsid w:val="00CD1F47"/>
    <w:rsid w:val="00CD2012"/>
    <w:rsid w:val="00CD281C"/>
    <w:rsid w:val="00CD2869"/>
    <w:rsid w:val="00CD2EED"/>
    <w:rsid w:val="00CD3187"/>
    <w:rsid w:val="00CD438E"/>
    <w:rsid w:val="00CD4611"/>
    <w:rsid w:val="00CD5060"/>
    <w:rsid w:val="00CD5525"/>
    <w:rsid w:val="00CD5746"/>
    <w:rsid w:val="00CD5984"/>
    <w:rsid w:val="00CD5EDB"/>
    <w:rsid w:val="00CD628E"/>
    <w:rsid w:val="00CD647F"/>
    <w:rsid w:val="00CD6E22"/>
    <w:rsid w:val="00CD7723"/>
    <w:rsid w:val="00CE03E9"/>
    <w:rsid w:val="00CE080F"/>
    <w:rsid w:val="00CE0D8D"/>
    <w:rsid w:val="00CE1D93"/>
    <w:rsid w:val="00CE2FC6"/>
    <w:rsid w:val="00CE376C"/>
    <w:rsid w:val="00CE4083"/>
    <w:rsid w:val="00CE42DA"/>
    <w:rsid w:val="00CE4570"/>
    <w:rsid w:val="00CE4C73"/>
    <w:rsid w:val="00CE4C86"/>
    <w:rsid w:val="00CE5103"/>
    <w:rsid w:val="00CE53BD"/>
    <w:rsid w:val="00CE5855"/>
    <w:rsid w:val="00CE6579"/>
    <w:rsid w:val="00CE6762"/>
    <w:rsid w:val="00CE6781"/>
    <w:rsid w:val="00CE6B44"/>
    <w:rsid w:val="00CE7160"/>
    <w:rsid w:val="00CE764B"/>
    <w:rsid w:val="00CE7D0F"/>
    <w:rsid w:val="00CF098E"/>
    <w:rsid w:val="00CF099B"/>
    <w:rsid w:val="00CF0DA8"/>
    <w:rsid w:val="00CF16CF"/>
    <w:rsid w:val="00CF2967"/>
    <w:rsid w:val="00CF3244"/>
    <w:rsid w:val="00CF39E9"/>
    <w:rsid w:val="00CF3ED1"/>
    <w:rsid w:val="00CF49EE"/>
    <w:rsid w:val="00CF4B55"/>
    <w:rsid w:val="00CF4B5A"/>
    <w:rsid w:val="00CF58D3"/>
    <w:rsid w:val="00CF5E2E"/>
    <w:rsid w:val="00CF66EE"/>
    <w:rsid w:val="00CF680A"/>
    <w:rsid w:val="00CF6C2C"/>
    <w:rsid w:val="00CF7477"/>
    <w:rsid w:val="00CF7B90"/>
    <w:rsid w:val="00D02126"/>
    <w:rsid w:val="00D02B64"/>
    <w:rsid w:val="00D037E1"/>
    <w:rsid w:val="00D03C40"/>
    <w:rsid w:val="00D042A3"/>
    <w:rsid w:val="00D0569F"/>
    <w:rsid w:val="00D0682C"/>
    <w:rsid w:val="00D06F18"/>
    <w:rsid w:val="00D07013"/>
    <w:rsid w:val="00D0767F"/>
    <w:rsid w:val="00D07771"/>
    <w:rsid w:val="00D10102"/>
    <w:rsid w:val="00D13129"/>
    <w:rsid w:val="00D1316F"/>
    <w:rsid w:val="00D131CA"/>
    <w:rsid w:val="00D13A70"/>
    <w:rsid w:val="00D13AAF"/>
    <w:rsid w:val="00D144D9"/>
    <w:rsid w:val="00D15C63"/>
    <w:rsid w:val="00D17479"/>
    <w:rsid w:val="00D17CC8"/>
    <w:rsid w:val="00D209C5"/>
    <w:rsid w:val="00D21330"/>
    <w:rsid w:val="00D2212A"/>
    <w:rsid w:val="00D2322E"/>
    <w:rsid w:val="00D27883"/>
    <w:rsid w:val="00D303BB"/>
    <w:rsid w:val="00D3050C"/>
    <w:rsid w:val="00D30E70"/>
    <w:rsid w:val="00D31901"/>
    <w:rsid w:val="00D31BED"/>
    <w:rsid w:val="00D31CC0"/>
    <w:rsid w:val="00D31CC3"/>
    <w:rsid w:val="00D31CDB"/>
    <w:rsid w:val="00D33B40"/>
    <w:rsid w:val="00D35127"/>
    <w:rsid w:val="00D351E1"/>
    <w:rsid w:val="00D36E95"/>
    <w:rsid w:val="00D36F3C"/>
    <w:rsid w:val="00D37639"/>
    <w:rsid w:val="00D37804"/>
    <w:rsid w:val="00D37911"/>
    <w:rsid w:val="00D402DF"/>
    <w:rsid w:val="00D405D2"/>
    <w:rsid w:val="00D40819"/>
    <w:rsid w:val="00D40952"/>
    <w:rsid w:val="00D40CF0"/>
    <w:rsid w:val="00D40DA5"/>
    <w:rsid w:val="00D4126F"/>
    <w:rsid w:val="00D41871"/>
    <w:rsid w:val="00D419A6"/>
    <w:rsid w:val="00D41AC7"/>
    <w:rsid w:val="00D41ECF"/>
    <w:rsid w:val="00D43A17"/>
    <w:rsid w:val="00D43C20"/>
    <w:rsid w:val="00D44D39"/>
    <w:rsid w:val="00D44F56"/>
    <w:rsid w:val="00D468BC"/>
    <w:rsid w:val="00D47393"/>
    <w:rsid w:val="00D4740B"/>
    <w:rsid w:val="00D47A06"/>
    <w:rsid w:val="00D5011E"/>
    <w:rsid w:val="00D502CC"/>
    <w:rsid w:val="00D5056C"/>
    <w:rsid w:val="00D50693"/>
    <w:rsid w:val="00D5070D"/>
    <w:rsid w:val="00D50AB3"/>
    <w:rsid w:val="00D51306"/>
    <w:rsid w:val="00D5327A"/>
    <w:rsid w:val="00D532AF"/>
    <w:rsid w:val="00D53746"/>
    <w:rsid w:val="00D53E80"/>
    <w:rsid w:val="00D548C8"/>
    <w:rsid w:val="00D5623A"/>
    <w:rsid w:val="00D5642D"/>
    <w:rsid w:val="00D56C10"/>
    <w:rsid w:val="00D56E21"/>
    <w:rsid w:val="00D575C5"/>
    <w:rsid w:val="00D577B0"/>
    <w:rsid w:val="00D600A7"/>
    <w:rsid w:val="00D60808"/>
    <w:rsid w:val="00D60E8C"/>
    <w:rsid w:val="00D61245"/>
    <w:rsid w:val="00D629D5"/>
    <w:rsid w:val="00D6322D"/>
    <w:rsid w:val="00D65B73"/>
    <w:rsid w:val="00D663B6"/>
    <w:rsid w:val="00D665F9"/>
    <w:rsid w:val="00D66E8E"/>
    <w:rsid w:val="00D6731E"/>
    <w:rsid w:val="00D674DB"/>
    <w:rsid w:val="00D675EC"/>
    <w:rsid w:val="00D67813"/>
    <w:rsid w:val="00D7023A"/>
    <w:rsid w:val="00D70A44"/>
    <w:rsid w:val="00D70DEF"/>
    <w:rsid w:val="00D719E7"/>
    <w:rsid w:val="00D71FC0"/>
    <w:rsid w:val="00D739A2"/>
    <w:rsid w:val="00D7426E"/>
    <w:rsid w:val="00D7473F"/>
    <w:rsid w:val="00D74F32"/>
    <w:rsid w:val="00D75041"/>
    <w:rsid w:val="00D75CF8"/>
    <w:rsid w:val="00D75D9D"/>
    <w:rsid w:val="00D75FCD"/>
    <w:rsid w:val="00D76397"/>
    <w:rsid w:val="00D76D0D"/>
    <w:rsid w:val="00D77094"/>
    <w:rsid w:val="00D800AC"/>
    <w:rsid w:val="00D806F2"/>
    <w:rsid w:val="00D81122"/>
    <w:rsid w:val="00D8152D"/>
    <w:rsid w:val="00D815A8"/>
    <w:rsid w:val="00D819C0"/>
    <w:rsid w:val="00D81D3A"/>
    <w:rsid w:val="00D82190"/>
    <w:rsid w:val="00D825C1"/>
    <w:rsid w:val="00D83677"/>
    <w:rsid w:val="00D836AB"/>
    <w:rsid w:val="00D83D08"/>
    <w:rsid w:val="00D84A3D"/>
    <w:rsid w:val="00D84D26"/>
    <w:rsid w:val="00D8720A"/>
    <w:rsid w:val="00D8736A"/>
    <w:rsid w:val="00D87930"/>
    <w:rsid w:val="00D87A0D"/>
    <w:rsid w:val="00D87F07"/>
    <w:rsid w:val="00D903E7"/>
    <w:rsid w:val="00D90433"/>
    <w:rsid w:val="00D90A0F"/>
    <w:rsid w:val="00D90C34"/>
    <w:rsid w:val="00D91D85"/>
    <w:rsid w:val="00D947ED"/>
    <w:rsid w:val="00D94D39"/>
    <w:rsid w:val="00D9557C"/>
    <w:rsid w:val="00D95581"/>
    <w:rsid w:val="00D95589"/>
    <w:rsid w:val="00D956F2"/>
    <w:rsid w:val="00D96160"/>
    <w:rsid w:val="00D965CB"/>
    <w:rsid w:val="00D96DD3"/>
    <w:rsid w:val="00D976BF"/>
    <w:rsid w:val="00DA084D"/>
    <w:rsid w:val="00DA1589"/>
    <w:rsid w:val="00DA2686"/>
    <w:rsid w:val="00DA38E1"/>
    <w:rsid w:val="00DA3A08"/>
    <w:rsid w:val="00DA416C"/>
    <w:rsid w:val="00DA6BFD"/>
    <w:rsid w:val="00DA7044"/>
    <w:rsid w:val="00DA7A7D"/>
    <w:rsid w:val="00DB0737"/>
    <w:rsid w:val="00DB0FCF"/>
    <w:rsid w:val="00DB117E"/>
    <w:rsid w:val="00DB2635"/>
    <w:rsid w:val="00DB327C"/>
    <w:rsid w:val="00DB3303"/>
    <w:rsid w:val="00DB55D0"/>
    <w:rsid w:val="00DB570E"/>
    <w:rsid w:val="00DB58E9"/>
    <w:rsid w:val="00DB6CE9"/>
    <w:rsid w:val="00DB788D"/>
    <w:rsid w:val="00DB7A39"/>
    <w:rsid w:val="00DB7D64"/>
    <w:rsid w:val="00DC07D8"/>
    <w:rsid w:val="00DC09AF"/>
    <w:rsid w:val="00DC0D11"/>
    <w:rsid w:val="00DC0EA0"/>
    <w:rsid w:val="00DC0F51"/>
    <w:rsid w:val="00DC344C"/>
    <w:rsid w:val="00DC420B"/>
    <w:rsid w:val="00DC4329"/>
    <w:rsid w:val="00DC5A69"/>
    <w:rsid w:val="00DC6397"/>
    <w:rsid w:val="00DC64F6"/>
    <w:rsid w:val="00DC73DA"/>
    <w:rsid w:val="00DD1259"/>
    <w:rsid w:val="00DD17BA"/>
    <w:rsid w:val="00DD1994"/>
    <w:rsid w:val="00DD1D1E"/>
    <w:rsid w:val="00DD1DD1"/>
    <w:rsid w:val="00DD1ED7"/>
    <w:rsid w:val="00DD2455"/>
    <w:rsid w:val="00DD2C1A"/>
    <w:rsid w:val="00DD2C38"/>
    <w:rsid w:val="00DD309E"/>
    <w:rsid w:val="00DD316C"/>
    <w:rsid w:val="00DD3A55"/>
    <w:rsid w:val="00DD3D54"/>
    <w:rsid w:val="00DD4648"/>
    <w:rsid w:val="00DD481F"/>
    <w:rsid w:val="00DD4AD1"/>
    <w:rsid w:val="00DD6CCE"/>
    <w:rsid w:val="00DD6E68"/>
    <w:rsid w:val="00DD781D"/>
    <w:rsid w:val="00DE002D"/>
    <w:rsid w:val="00DE1C28"/>
    <w:rsid w:val="00DE2149"/>
    <w:rsid w:val="00DE217F"/>
    <w:rsid w:val="00DE24DC"/>
    <w:rsid w:val="00DE30F6"/>
    <w:rsid w:val="00DE389F"/>
    <w:rsid w:val="00DE434F"/>
    <w:rsid w:val="00DE43E9"/>
    <w:rsid w:val="00DE5A1D"/>
    <w:rsid w:val="00DE5B8A"/>
    <w:rsid w:val="00DE6179"/>
    <w:rsid w:val="00DE7C13"/>
    <w:rsid w:val="00DE7C3C"/>
    <w:rsid w:val="00DF1079"/>
    <w:rsid w:val="00DF131E"/>
    <w:rsid w:val="00DF1834"/>
    <w:rsid w:val="00DF1A51"/>
    <w:rsid w:val="00DF273A"/>
    <w:rsid w:val="00DF2F05"/>
    <w:rsid w:val="00DF2FE2"/>
    <w:rsid w:val="00DF3831"/>
    <w:rsid w:val="00DF4ACE"/>
    <w:rsid w:val="00DF4FC5"/>
    <w:rsid w:val="00DF599E"/>
    <w:rsid w:val="00DF65AA"/>
    <w:rsid w:val="00DF67CF"/>
    <w:rsid w:val="00DF6F3F"/>
    <w:rsid w:val="00DF7ED6"/>
    <w:rsid w:val="00E003CE"/>
    <w:rsid w:val="00E013D6"/>
    <w:rsid w:val="00E027AE"/>
    <w:rsid w:val="00E03662"/>
    <w:rsid w:val="00E03720"/>
    <w:rsid w:val="00E03FE7"/>
    <w:rsid w:val="00E05599"/>
    <w:rsid w:val="00E05C5D"/>
    <w:rsid w:val="00E065D4"/>
    <w:rsid w:val="00E06964"/>
    <w:rsid w:val="00E0761B"/>
    <w:rsid w:val="00E10732"/>
    <w:rsid w:val="00E10D09"/>
    <w:rsid w:val="00E10D6E"/>
    <w:rsid w:val="00E10EF6"/>
    <w:rsid w:val="00E11036"/>
    <w:rsid w:val="00E11493"/>
    <w:rsid w:val="00E11BD2"/>
    <w:rsid w:val="00E11EE7"/>
    <w:rsid w:val="00E1245E"/>
    <w:rsid w:val="00E12541"/>
    <w:rsid w:val="00E1314B"/>
    <w:rsid w:val="00E131BC"/>
    <w:rsid w:val="00E144BA"/>
    <w:rsid w:val="00E16679"/>
    <w:rsid w:val="00E168EB"/>
    <w:rsid w:val="00E17D03"/>
    <w:rsid w:val="00E17E0B"/>
    <w:rsid w:val="00E2031A"/>
    <w:rsid w:val="00E20611"/>
    <w:rsid w:val="00E20DB6"/>
    <w:rsid w:val="00E224CB"/>
    <w:rsid w:val="00E22815"/>
    <w:rsid w:val="00E22F9A"/>
    <w:rsid w:val="00E2366F"/>
    <w:rsid w:val="00E23838"/>
    <w:rsid w:val="00E24FD7"/>
    <w:rsid w:val="00E251B8"/>
    <w:rsid w:val="00E25C02"/>
    <w:rsid w:val="00E25C58"/>
    <w:rsid w:val="00E26A6A"/>
    <w:rsid w:val="00E27ED2"/>
    <w:rsid w:val="00E30755"/>
    <w:rsid w:val="00E30F92"/>
    <w:rsid w:val="00E31103"/>
    <w:rsid w:val="00E312CF"/>
    <w:rsid w:val="00E314CB"/>
    <w:rsid w:val="00E31998"/>
    <w:rsid w:val="00E31E10"/>
    <w:rsid w:val="00E3297C"/>
    <w:rsid w:val="00E329E7"/>
    <w:rsid w:val="00E32BF2"/>
    <w:rsid w:val="00E331C7"/>
    <w:rsid w:val="00E33844"/>
    <w:rsid w:val="00E339B0"/>
    <w:rsid w:val="00E33A6F"/>
    <w:rsid w:val="00E3466C"/>
    <w:rsid w:val="00E34EAC"/>
    <w:rsid w:val="00E35193"/>
    <w:rsid w:val="00E354DD"/>
    <w:rsid w:val="00E3696E"/>
    <w:rsid w:val="00E36BA7"/>
    <w:rsid w:val="00E36E69"/>
    <w:rsid w:val="00E370A2"/>
    <w:rsid w:val="00E374E3"/>
    <w:rsid w:val="00E378AB"/>
    <w:rsid w:val="00E379A3"/>
    <w:rsid w:val="00E37DA2"/>
    <w:rsid w:val="00E40424"/>
    <w:rsid w:val="00E40516"/>
    <w:rsid w:val="00E40AA1"/>
    <w:rsid w:val="00E40AFB"/>
    <w:rsid w:val="00E411F8"/>
    <w:rsid w:val="00E41999"/>
    <w:rsid w:val="00E42CF3"/>
    <w:rsid w:val="00E459BB"/>
    <w:rsid w:val="00E45A22"/>
    <w:rsid w:val="00E463F8"/>
    <w:rsid w:val="00E463FC"/>
    <w:rsid w:val="00E465D5"/>
    <w:rsid w:val="00E4699C"/>
    <w:rsid w:val="00E46BA8"/>
    <w:rsid w:val="00E478AB"/>
    <w:rsid w:val="00E47D18"/>
    <w:rsid w:val="00E50A41"/>
    <w:rsid w:val="00E51B5E"/>
    <w:rsid w:val="00E52FEE"/>
    <w:rsid w:val="00E5326B"/>
    <w:rsid w:val="00E54B6D"/>
    <w:rsid w:val="00E5567D"/>
    <w:rsid w:val="00E564B1"/>
    <w:rsid w:val="00E565EE"/>
    <w:rsid w:val="00E56BB2"/>
    <w:rsid w:val="00E601BA"/>
    <w:rsid w:val="00E60493"/>
    <w:rsid w:val="00E62895"/>
    <w:rsid w:val="00E62A04"/>
    <w:rsid w:val="00E63DCC"/>
    <w:rsid w:val="00E6418D"/>
    <w:rsid w:val="00E6448D"/>
    <w:rsid w:val="00E64C2D"/>
    <w:rsid w:val="00E64CEB"/>
    <w:rsid w:val="00E667A0"/>
    <w:rsid w:val="00E66A4A"/>
    <w:rsid w:val="00E66B63"/>
    <w:rsid w:val="00E6741E"/>
    <w:rsid w:val="00E67601"/>
    <w:rsid w:val="00E67B68"/>
    <w:rsid w:val="00E70B33"/>
    <w:rsid w:val="00E70D27"/>
    <w:rsid w:val="00E71797"/>
    <w:rsid w:val="00E71C7F"/>
    <w:rsid w:val="00E721BA"/>
    <w:rsid w:val="00E73277"/>
    <w:rsid w:val="00E73F74"/>
    <w:rsid w:val="00E753D8"/>
    <w:rsid w:val="00E76DF0"/>
    <w:rsid w:val="00E7709E"/>
    <w:rsid w:val="00E80B57"/>
    <w:rsid w:val="00E813B7"/>
    <w:rsid w:val="00E81762"/>
    <w:rsid w:val="00E821A8"/>
    <w:rsid w:val="00E8253A"/>
    <w:rsid w:val="00E82D57"/>
    <w:rsid w:val="00E83FE7"/>
    <w:rsid w:val="00E84071"/>
    <w:rsid w:val="00E84682"/>
    <w:rsid w:val="00E84C18"/>
    <w:rsid w:val="00E854DA"/>
    <w:rsid w:val="00E86807"/>
    <w:rsid w:val="00E869C6"/>
    <w:rsid w:val="00E87306"/>
    <w:rsid w:val="00E90C25"/>
    <w:rsid w:val="00E90F28"/>
    <w:rsid w:val="00E9294C"/>
    <w:rsid w:val="00E93853"/>
    <w:rsid w:val="00E93A9A"/>
    <w:rsid w:val="00E940D6"/>
    <w:rsid w:val="00E94184"/>
    <w:rsid w:val="00E9424B"/>
    <w:rsid w:val="00E949C2"/>
    <w:rsid w:val="00E95063"/>
    <w:rsid w:val="00E953D6"/>
    <w:rsid w:val="00E9635B"/>
    <w:rsid w:val="00EA0139"/>
    <w:rsid w:val="00EA08F3"/>
    <w:rsid w:val="00EA11C4"/>
    <w:rsid w:val="00EA1E2A"/>
    <w:rsid w:val="00EA20E2"/>
    <w:rsid w:val="00EA2304"/>
    <w:rsid w:val="00EA26EA"/>
    <w:rsid w:val="00EA27FB"/>
    <w:rsid w:val="00EA2A72"/>
    <w:rsid w:val="00EA30D2"/>
    <w:rsid w:val="00EA39A6"/>
    <w:rsid w:val="00EA3C6E"/>
    <w:rsid w:val="00EA4351"/>
    <w:rsid w:val="00EA50BD"/>
    <w:rsid w:val="00EA6F21"/>
    <w:rsid w:val="00EA6FED"/>
    <w:rsid w:val="00EB0C1D"/>
    <w:rsid w:val="00EB1AF7"/>
    <w:rsid w:val="00EB1D63"/>
    <w:rsid w:val="00EB2273"/>
    <w:rsid w:val="00EB239D"/>
    <w:rsid w:val="00EB24F0"/>
    <w:rsid w:val="00EB31F0"/>
    <w:rsid w:val="00EB3544"/>
    <w:rsid w:val="00EB500B"/>
    <w:rsid w:val="00EB5DBC"/>
    <w:rsid w:val="00EB6738"/>
    <w:rsid w:val="00EB6A3E"/>
    <w:rsid w:val="00EB7A20"/>
    <w:rsid w:val="00EC005D"/>
    <w:rsid w:val="00EC05F4"/>
    <w:rsid w:val="00EC0F8F"/>
    <w:rsid w:val="00EC1556"/>
    <w:rsid w:val="00EC1631"/>
    <w:rsid w:val="00EC1774"/>
    <w:rsid w:val="00EC1F27"/>
    <w:rsid w:val="00EC2DA7"/>
    <w:rsid w:val="00EC3428"/>
    <w:rsid w:val="00EC37B2"/>
    <w:rsid w:val="00EC4753"/>
    <w:rsid w:val="00EC4CC1"/>
    <w:rsid w:val="00EC556D"/>
    <w:rsid w:val="00EC569F"/>
    <w:rsid w:val="00EC61B3"/>
    <w:rsid w:val="00EC799E"/>
    <w:rsid w:val="00EC7FC6"/>
    <w:rsid w:val="00ED0220"/>
    <w:rsid w:val="00ED04E6"/>
    <w:rsid w:val="00ED1048"/>
    <w:rsid w:val="00ED1080"/>
    <w:rsid w:val="00ED1B87"/>
    <w:rsid w:val="00ED2660"/>
    <w:rsid w:val="00ED2F5A"/>
    <w:rsid w:val="00ED2FDF"/>
    <w:rsid w:val="00ED3C97"/>
    <w:rsid w:val="00ED45A5"/>
    <w:rsid w:val="00ED4BC8"/>
    <w:rsid w:val="00ED5DDF"/>
    <w:rsid w:val="00ED691A"/>
    <w:rsid w:val="00ED6D34"/>
    <w:rsid w:val="00ED73AB"/>
    <w:rsid w:val="00ED7C3F"/>
    <w:rsid w:val="00EE1445"/>
    <w:rsid w:val="00EE1632"/>
    <w:rsid w:val="00EE1652"/>
    <w:rsid w:val="00EE1D2E"/>
    <w:rsid w:val="00EE2629"/>
    <w:rsid w:val="00EE36C1"/>
    <w:rsid w:val="00EE419B"/>
    <w:rsid w:val="00EE43FC"/>
    <w:rsid w:val="00EE486E"/>
    <w:rsid w:val="00EE5667"/>
    <w:rsid w:val="00EE7644"/>
    <w:rsid w:val="00EE779E"/>
    <w:rsid w:val="00EE797B"/>
    <w:rsid w:val="00EF0247"/>
    <w:rsid w:val="00EF05AC"/>
    <w:rsid w:val="00EF0D97"/>
    <w:rsid w:val="00EF1D84"/>
    <w:rsid w:val="00EF1FA7"/>
    <w:rsid w:val="00EF20E2"/>
    <w:rsid w:val="00EF273D"/>
    <w:rsid w:val="00EF36D6"/>
    <w:rsid w:val="00EF3E7C"/>
    <w:rsid w:val="00EF41BB"/>
    <w:rsid w:val="00EF450D"/>
    <w:rsid w:val="00EF4907"/>
    <w:rsid w:val="00EF6059"/>
    <w:rsid w:val="00EF665E"/>
    <w:rsid w:val="00EF6D0F"/>
    <w:rsid w:val="00EF6EFE"/>
    <w:rsid w:val="00EF7161"/>
    <w:rsid w:val="00EF78BC"/>
    <w:rsid w:val="00F000A9"/>
    <w:rsid w:val="00F0057A"/>
    <w:rsid w:val="00F009BD"/>
    <w:rsid w:val="00F01FCF"/>
    <w:rsid w:val="00F03078"/>
    <w:rsid w:val="00F037E1"/>
    <w:rsid w:val="00F03AA1"/>
    <w:rsid w:val="00F03D97"/>
    <w:rsid w:val="00F04124"/>
    <w:rsid w:val="00F0457F"/>
    <w:rsid w:val="00F0548B"/>
    <w:rsid w:val="00F056E6"/>
    <w:rsid w:val="00F057CC"/>
    <w:rsid w:val="00F060E3"/>
    <w:rsid w:val="00F063CB"/>
    <w:rsid w:val="00F06D14"/>
    <w:rsid w:val="00F073C0"/>
    <w:rsid w:val="00F07E3A"/>
    <w:rsid w:val="00F113B7"/>
    <w:rsid w:val="00F117A8"/>
    <w:rsid w:val="00F12836"/>
    <w:rsid w:val="00F12DA8"/>
    <w:rsid w:val="00F13408"/>
    <w:rsid w:val="00F140BB"/>
    <w:rsid w:val="00F15356"/>
    <w:rsid w:val="00F153B8"/>
    <w:rsid w:val="00F17306"/>
    <w:rsid w:val="00F174B5"/>
    <w:rsid w:val="00F20540"/>
    <w:rsid w:val="00F208DC"/>
    <w:rsid w:val="00F20C15"/>
    <w:rsid w:val="00F20EDF"/>
    <w:rsid w:val="00F22362"/>
    <w:rsid w:val="00F22ECA"/>
    <w:rsid w:val="00F232B1"/>
    <w:rsid w:val="00F234A5"/>
    <w:rsid w:val="00F23B3A"/>
    <w:rsid w:val="00F24986"/>
    <w:rsid w:val="00F26E46"/>
    <w:rsid w:val="00F271EC"/>
    <w:rsid w:val="00F27409"/>
    <w:rsid w:val="00F31B06"/>
    <w:rsid w:val="00F32608"/>
    <w:rsid w:val="00F33DFE"/>
    <w:rsid w:val="00F34A3C"/>
    <w:rsid w:val="00F3599C"/>
    <w:rsid w:val="00F36FF0"/>
    <w:rsid w:val="00F3706A"/>
    <w:rsid w:val="00F370D8"/>
    <w:rsid w:val="00F37CD5"/>
    <w:rsid w:val="00F40756"/>
    <w:rsid w:val="00F41128"/>
    <w:rsid w:val="00F426B9"/>
    <w:rsid w:val="00F426E7"/>
    <w:rsid w:val="00F4297D"/>
    <w:rsid w:val="00F43D2F"/>
    <w:rsid w:val="00F44190"/>
    <w:rsid w:val="00F44962"/>
    <w:rsid w:val="00F45648"/>
    <w:rsid w:val="00F45DE8"/>
    <w:rsid w:val="00F45FCF"/>
    <w:rsid w:val="00F460F5"/>
    <w:rsid w:val="00F47384"/>
    <w:rsid w:val="00F474FF"/>
    <w:rsid w:val="00F4789F"/>
    <w:rsid w:val="00F47CDC"/>
    <w:rsid w:val="00F50B8D"/>
    <w:rsid w:val="00F50DC6"/>
    <w:rsid w:val="00F5100B"/>
    <w:rsid w:val="00F51D3C"/>
    <w:rsid w:val="00F53247"/>
    <w:rsid w:val="00F541B0"/>
    <w:rsid w:val="00F54304"/>
    <w:rsid w:val="00F543F0"/>
    <w:rsid w:val="00F5478F"/>
    <w:rsid w:val="00F551E1"/>
    <w:rsid w:val="00F5557A"/>
    <w:rsid w:val="00F55A82"/>
    <w:rsid w:val="00F55E87"/>
    <w:rsid w:val="00F55F21"/>
    <w:rsid w:val="00F562D5"/>
    <w:rsid w:val="00F56B09"/>
    <w:rsid w:val="00F57088"/>
    <w:rsid w:val="00F57F86"/>
    <w:rsid w:val="00F60318"/>
    <w:rsid w:val="00F60515"/>
    <w:rsid w:val="00F60F7D"/>
    <w:rsid w:val="00F60F8B"/>
    <w:rsid w:val="00F61932"/>
    <w:rsid w:val="00F61A89"/>
    <w:rsid w:val="00F62A51"/>
    <w:rsid w:val="00F62BDA"/>
    <w:rsid w:val="00F63466"/>
    <w:rsid w:val="00F64F2C"/>
    <w:rsid w:val="00F656EC"/>
    <w:rsid w:val="00F65D9B"/>
    <w:rsid w:val="00F66254"/>
    <w:rsid w:val="00F66426"/>
    <w:rsid w:val="00F6674D"/>
    <w:rsid w:val="00F676C3"/>
    <w:rsid w:val="00F700AB"/>
    <w:rsid w:val="00F703CB"/>
    <w:rsid w:val="00F70C78"/>
    <w:rsid w:val="00F71181"/>
    <w:rsid w:val="00F7279F"/>
    <w:rsid w:val="00F728E3"/>
    <w:rsid w:val="00F72FF9"/>
    <w:rsid w:val="00F734F2"/>
    <w:rsid w:val="00F73C61"/>
    <w:rsid w:val="00F74570"/>
    <w:rsid w:val="00F74EB9"/>
    <w:rsid w:val="00F757A0"/>
    <w:rsid w:val="00F77BC2"/>
    <w:rsid w:val="00F8021E"/>
    <w:rsid w:val="00F815AC"/>
    <w:rsid w:val="00F81DA6"/>
    <w:rsid w:val="00F8264F"/>
    <w:rsid w:val="00F8278B"/>
    <w:rsid w:val="00F82B43"/>
    <w:rsid w:val="00F82C98"/>
    <w:rsid w:val="00F8328B"/>
    <w:rsid w:val="00F83F77"/>
    <w:rsid w:val="00F85E1E"/>
    <w:rsid w:val="00F85F39"/>
    <w:rsid w:val="00F869B9"/>
    <w:rsid w:val="00F8754F"/>
    <w:rsid w:val="00F87A34"/>
    <w:rsid w:val="00F90AEE"/>
    <w:rsid w:val="00F9130C"/>
    <w:rsid w:val="00F91B60"/>
    <w:rsid w:val="00F92516"/>
    <w:rsid w:val="00F929CE"/>
    <w:rsid w:val="00F929EF"/>
    <w:rsid w:val="00F92B3D"/>
    <w:rsid w:val="00F92BD7"/>
    <w:rsid w:val="00F932F9"/>
    <w:rsid w:val="00F951DF"/>
    <w:rsid w:val="00F965E8"/>
    <w:rsid w:val="00F96DEE"/>
    <w:rsid w:val="00F97511"/>
    <w:rsid w:val="00F97A68"/>
    <w:rsid w:val="00FA026C"/>
    <w:rsid w:val="00FA03B8"/>
    <w:rsid w:val="00FA1DB6"/>
    <w:rsid w:val="00FA25B7"/>
    <w:rsid w:val="00FA403B"/>
    <w:rsid w:val="00FA56F3"/>
    <w:rsid w:val="00FA5706"/>
    <w:rsid w:val="00FA5E55"/>
    <w:rsid w:val="00FA6A6B"/>
    <w:rsid w:val="00FB06D3"/>
    <w:rsid w:val="00FB13C4"/>
    <w:rsid w:val="00FB191B"/>
    <w:rsid w:val="00FB2586"/>
    <w:rsid w:val="00FB262A"/>
    <w:rsid w:val="00FB26D3"/>
    <w:rsid w:val="00FB2FC9"/>
    <w:rsid w:val="00FB34FF"/>
    <w:rsid w:val="00FB390E"/>
    <w:rsid w:val="00FB46CC"/>
    <w:rsid w:val="00FB58BE"/>
    <w:rsid w:val="00FB5A1B"/>
    <w:rsid w:val="00FB66C1"/>
    <w:rsid w:val="00FC1BD4"/>
    <w:rsid w:val="00FC20B0"/>
    <w:rsid w:val="00FC2866"/>
    <w:rsid w:val="00FC3090"/>
    <w:rsid w:val="00FC37DF"/>
    <w:rsid w:val="00FC3946"/>
    <w:rsid w:val="00FC3DE3"/>
    <w:rsid w:val="00FC3E88"/>
    <w:rsid w:val="00FC4087"/>
    <w:rsid w:val="00FC438E"/>
    <w:rsid w:val="00FC4695"/>
    <w:rsid w:val="00FC5A30"/>
    <w:rsid w:val="00FC5DE4"/>
    <w:rsid w:val="00FC5F54"/>
    <w:rsid w:val="00FC60AA"/>
    <w:rsid w:val="00FC6A26"/>
    <w:rsid w:val="00FC7CAA"/>
    <w:rsid w:val="00FC7F3F"/>
    <w:rsid w:val="00FD0B24"/>
    <w:rsid w:val="00FD12BD"/>
    <w:rsid w:val="00FD18BE"/>
    <w:rsid w:val="00FD1B3A"/>
    <w:rsid w:val="00FD2B26"/>
    <w:rsid w:val="00FD307C"/>
    <w:rsid w:val="00FD371A"/>
    <w:rsid w:val="00FD3762"/>
    <w:rsid w:val="00FD387E"/>
    <w:rsid w:val="00FD4331"/>
    <w:rsid w:val="00FD4550"/>
    <w:rsid w:val="00FD4FD5"/>
    <w:rsid w:val="00FD53D3"/>
    <w:rsid w:val="00FD5773"/>
    <w:rsid w:val="00FD595C"/>
    <w:rsid w:val="00FD6131"/>
    <w:rsid w:val="00FD6189"/>
    <w:rsid w:val="00FD6540"/>
    <w:rsid w:val="00FD6A40"/>
    <w:rsid w:val="00FD7691"/>
    <w:rsid w:val="00FD7B71"/>
    <w:rsid w:val="00FE19E4"/>
    <w:rsid w:val="00FE3B31"/>
    <w:rsid w:val="00FE42F7"/>
    <w:rsid w:val="00FE4604"/>
    <w:rsid w:val="00FE4896"/>
    <w:rsid w:val="00FE4907"/>
    <w:rsid w:val="00FE493D"/>
    <w:rsid w:val="00FE4FA9"/>
    <w:rsid w:val="00FE5183"/>
    <w:rsid w:val="00FE5644"/>
    <w:rsid w:val="00FE56E3"/>
    <w:rsid w:val="00FE6472"/>
    <w:rsid w:val="00FE76EC"/>
    <w:rsid w:val="00FE77A8"/>
    <w:rsid w:val="00FE7C2F"/>
    <w:rsid w:val="00FF0B37"/>
    <w:rsid w:val="00FF0DA6"/>
    <w:rsid w:val="00FF1B80"/>
    <w:rsid w:val="00FF243F"/>
    <w:rsid w:val="00FF2EF0"/>
    <w:rsid w:val="00FF2F21"/>
    <w:rsid w:val="00FF306F"/>
    <w:rsid w:val="00FF4074"/>
    <w:rsid w:val="00FF4261"/>
    <w:rsid w:val="00FF4747"/>
    <w:rsid w:val="00FF4A39"/>
    <w:rsid w:val="00FF5D82"/>
    <w:rsid w:val="00FF6E9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60C2FEA"/>
  <w15:docId w15:val="{F889A799-6E6E-45F2-943F-83A9F4EFF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B34FF"/>
    <w:rPr>
      <w:sz w:val="24"/>
      <w:szCs w:val="24"/>
    </w:rPr>
  </w:style>
  <w:style w:type="paragraph" w:styleId="Titolo1">
    <w:name w:val="heading 1"/>
    <w:basedOn w:val="Normale"/>
    <w:next w:val="Normale"/>
    <w:link w:val="Titolo1Carattere"/>
    <w:uiPriority w:val="99"/>
    <w:qFormat/>
    <w:rsid w:val="00FB34FF"/>
    <w:pPr>
      <w:keepNext/>
      <w:spacing w:after="120"/>
      <w:jc w:val="both"/>
      <w:outlineLvl w:val="0"/>
    </w:pPr>
    <w:rPr>
      <w:rFonts w:ascii="Verdana" w:hAnsi="Verdana"/>
      <w:b/>
      <w:bCs/>
      <w:sz w:val="22"/>
    </w:rPr>
  </w:style>
  <w:style w:type="paragraph" w:styleId="Titolo2">
    <w:name w:val="heading 2"/>
    <w:basedOn w:val="Normale"/>
    <w:link w:val="Titolo2Carattere"/>
    <w:uiPriority w:val="99"/>
    <w:qFormat/>
    <w:rsid w:val="00FB34FF"/>
    <w:pPr>
      <w:spacing w:after="120"/>
      <w:outlineLvl w:val="1"/>
    </w:pPr>
    <w:rPr>
      <w:rFonts w:ascii="Verdana" w:hAnsi="Verdana"/>
      <w:bCs/>
      <w:i/>
      <w:sz w:val="21"/>
      <w:szCs w:val="36"/>
    </w:rPr>
  </w:style>
  <w:style w:type="paragraph" w:styleId="Titolo3">
    <w:name w:val="heading 3"/>
    <w:basedOn w:val="Normale"/>
    <w:link w:val="Titolo3Carattere"/>
    <w:uiPriority w:val="99"/>
    <w:qFormat/>
    <w:rsid w:val="00FB34FF"/>
    <w:pPr>
      <w:spacing w:before="100" w:beforeAutospacing="1" w:after="100" w:afterAutospacing="1"/>
      <w:outlineLvl w:val="2"/>
    </w:pPr>
    <w:rPr>
      <w:b/>
      <w:bCs/>
      <w:sz w:val="27"/>
      <w:szCs w:val="27"/>
    </w:rPr>
  </w:style>
  <w:style w:type="paragraph" w:styleId="Titolo4">
    <w:name w:val="heading 4"/>
    <w:basedOn w:val="Normale"/>
    <w:next w:val="Normale"/>
    <w:link w:val="Titolo4Carattere"/>
    <w:uiPriority w:val="99"/>
    <w:qFormat/>
    <w:rsid w:val="0007346F"/>
    <w:pPr>
      <w:keepNext/>
      <w:jc w:val="center"/>
      <w:outlineLvl w:val="3"/>
    </w:pPr>
    <w:rPr>
      <w:rFonts w:ascii="Calibri" w:hAnsi="Calibri"/>
      <w:b/>
      <w:bCs/>
      <w:sz w:val="28"/>
      <w:szCs w:val="28"/>
    </w:rPr>
  </w:style>
  <w:style w:type="paragraph" w:styleId="Titolo5">
    <w:name w:val="heading 5"/>
    <w:basedOn w:val="Normale"/>
    <w:next w:val="Normale"/>
    <w:link w:val="Titolo5Carattere"/>
    <w:uiPriority w:val="99"/>
    <w:unhideWhenUsed/>
    <w:qFormat/>
    <w:rsid w:val="0007346F"/>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9"/>
    <w:qFormat/>
    <w:rsid w:val="00FB34FF"/>
    <w:pPr>
      <w:spacing w:before="240" w:after="60"/>
      <w:outlineLvl w:val="5"/>
    </w:pPr>
    <w:rPr>
      <w:b/>
      <w:bCs/>
      <w:sz w:val="22"/>
      <w:szCs w:val="22"/>
    </w:rPr>
  </w:style>
  <w:style w:type="paragraph" w:styleId="Titolo7">
    <w:name w:val="heading 7"/>
    <w:basedOn w:val="Normale"/>
    <w:next w:val="Normale"/>
    <w:link w:val="Titolo7Carattere"/>
    <w:qFormat/>
    <w:rsid w:val="008512A6"/>
    <w:pPr>
      <w:spacing w:before="240" w:after="60"/>
      <w:jc w:val="both"/>
      <w:outlineLvl w:val="6"/>
    </w:pPr>
    <w:rPr>
      <w:rFonts w:ascii="Arial" w:hAnsi="Arial"/>
      <w:sz w:val="20"/>
      <w:szCs w:val="20"/>
    </w:rPr>
  </w:style>
  <w:style w:type="paragraph" w:styleId="Titolo8">
    <w:name w:val="heading 8"/>
    <w:basedOn w:val="Normale"/>
    <w:next w:val="Normale"/>
    <w:link w:val="Titolo8Carattere"/>
    <w:qFormat/>
    <w:rsid w:val="008512A6"/>
    <w:pPr>
      <w:keepNext/>
      <w:autoSpaceDE w:val="0"/>
      <w:autoSpaceDN w:val="0"/>
      <w:adjustRightInd w:val="0"/>
      <w:spacing w:after="120"/>
      <w:ind w:left="1814"/>
      <w:jc w:val="both"/>
      <w:outlineLvl w:val="7"/>
    </w:pPr>
    <w:rPr>
      <w:rFonts w:ascii="Arial" w:hAnsi="Arial" w:cs="Arial"/>
      <w:b/>
      <w:sz w:val="22"/>
      <w:szCs w:val="22"/>
    </w:rPr>
  </w:style>
  <w:style w:type="paragraph" w:styleId="Titolo9">
    <w:name w:val="heading 9"/>
    <w:basedOn w:val="Normale"/>
    <w:next w:val="Normale"/>
    <w:link w:val="Titolo9Carattere"/>
    <w:qFormat/>
    <w:rsid w:val="008512A6"/>
    <w:pPr>
      <w:spacing w:before="240" w:after="60"/>
      <w:jc w:val="both"/>
      <w:outlineLvl w:val="8"/>
    </w:pPr>
    <w:rPr>
      <w:rFonts w:ascii="Arial" w:hAnsi="Arial"/>
      <w:i/>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FB34FF"/>
    <w:pPr>
      <w:spacing w:before="100" w:beforeAutospacing="1" w:after="100" w:afterAutospacing="1"/>
    </w:pPr>
  </w:style>
  <w:style w:type="paragraph" w:styleId="Intestazione">
    <w:name w:val="header"/>
    <w:basedOn w:val="Normale"/>
    <w:link w:val="IntestazioneCarattere"/>
    <w:uiPriority w:val="99"/>
    <w:rsid w:val="00FB34FF"/>
    <w:pPr>
      <w:tabs>
        <w:tab w:val="center" w:pos="4819"/>
        <w:tab w:val="right" w:pos="9638"/>
      </w:tabs>
      <w:jc w:val="both"/>
    </w:pPr>
    <w:rPr>
      <w:rFonts w:ascii="Garamond" w:hAnsi="Garamond"/>
      <w:sz w:val="28"/>
    </w:rPr>
  </w:style>
  <w:style w:type="paragraph" w:styleId="Pidipagina">
    <w:name w:val="footer"/>
    <w:basedOn w:val="Normale"/>
    <w:link w:val="PidipaginaCarattere"/>
    <w:uiPriority w:val="99"/>
    <w:rsid w:val="00FB34FF"/>
    <w:pPr>
      <w:tabs>
        <w:tab w:val="center" w:pos="4819"/>
        <w:tab w:val="right" w:pos="9638"/>
      </w:tabs>
      <w:jc w:val="both"/>
    </w:pPr>
    <w:rPr>
      <w:rFonts w:ascii="Garamond" w:hAnsi="Garamond"/>
      <w:sz w:val="28"/>
    </w:rPr>
  </w:style>
  <w:style w:type="character" w:styleId="Numeropagina">
    <w:name w:val="page number"/>
    <w:basedOn w:val="Carpredefinitoparagrafo"/>
    <w:uiPriority w:val="99"/>
    <w:rsid w:val="00FB34FF"/>
  </w:style>
  <w:style w:type="paragraph" w:styleId="Testonotaapidipagina">
    <w:name w:val="footnote text"/>
    <w:aliases w:val="Footnote,Footnote1,Footnote2,Footnote3,Footnote4,Footnote5,Footnote6,Footnote7,Footnote8,Footnote9,Footnote10,Footnote11,Footnote21,Footnote31,Footnote41,Footnote51,Footnote61,Footnote71,Footnote81,Footnote91,Footnote12"/>
    <w:basedOn w:val="Normale"/>
    <w:link w:val="TestonotaapidipaginaCarattere"/>
    <w:uiPriority w:val="99"/>
    <w:rsid w:val="00FB34FF"/>
    <w:rPr>
      <w:sz w:val="20"/>
      <w:szCs w:val="20"/>
    </w:rPr>
  </w:style>
  <w:style w:type="character" w:styleId="Rimandonotaapidipagina">
    <w:name w:val="footnote reference"/>
    <w:aliases w:val="Inf_Note a piè di pagina,(Footnote Reference),SUPERS,Footnote symbol,Voetnootverwijzing,Rimando nota a piè di pagina-IMONT,EN Footnote Reference,-E Fuﬂnotenzeichen,-E Fuûnotenzeichen,-E Fußnotenzeichen,SUPERS1,SUPERS2,DNV-FR"/>
    <w:link w:val="ftrefCharCharCharCharCharCharCharCharChar"/>
    <w:uiPriority w:val="99"/>
    <w:qFormat/>
    <w:rsid w:val="00FB34FF"/>
    <w:rPr>
      <w:vertAlign w:val="superscript"/>
    </w:rPr>
  </w:style>
  <w:style w:type="paragraph" w:customStyle="1" w:styleId="vedianche">
    <w:name w:val="vedianche"/>
    <w:basedOn w:val="Normale"/>
    <w:rsid w:val="00FB34FF"/>
    <w:pPr>
      <w:spacing w:before="100" w:beforeAutospacing="1" w:after="100" w:afterAutospacing="1"/>
    </w:pPr>
  </w:style>
  <w:style w:type="character" w:styleId="Collegamentoipertestuale">
    <w:name w:val="Hyperlink"/>
    <w:uiPriority w:val="99"/>
    <w:rsid w:val="00FB34FF"/>
    <w:rPr>
      <w:color w:val="0000FF"/>
      <w:u w:val="single"/>
    </w:rPr>
  </w:style>
  <w:style w:type="paragraph" w:styleId="Rientrocorpodeltesto">
    <w:name w:val="Body Text Indent"/>
    <w:basedOn w:val="Normale"/>
    <w:link w:val="RientrocorpodeltestoCarattere"/>
    <w:uiPriority w:val="99"/>
    <w:rsid w:val="00FB34FF"/>
    <w:pPr>
      <w:spacing w:after="120"/>
      <w:ind w:left="283"/>
      <w:jc w:val="both"/>
    </w:pPr>
    <w:rPr>
      <w:rFonts w:ascii="Verdana" w:hAnsi="Verdana"/>
      <w:sz w:val="22"/>
    </w:rPr>
  </w:style>
  <w:style w:type="paragraph" w:styleId="Corpotesto">
    <w:name w:val="Body Text"/>
    <w:basedOn w:val="Normale"/>
    <w:link w:val="CorpotestoCarattere"/>
    <w:uiPriority w:val="99"/>
    <w:rsid w:val="00FB34FF"/>
    <w:pPr>
      <w:spacing w:line="360" w:lineRule="auto"/>
    </w:pPr>
    <w:rPr>
      <w:rFonts w:ascii="Arial" w:hAnsi="Arial" w:cs="Arial"/>
      <w:b/>
      <w:bCs/>
      <w:szCs w:val="23"/>
    </w:rPr>
  </w:style>
  <w:style w:type="character" w:customStyle="1" w:styleId="apple-style-span">
    <w:name w:val="apple-style-span"/>
    <w:basedOn w:val="Carpredefinitoparagrafo"/>
    <w:rsid w:val="00FB34FF"/>
  </w:style>
  <w:style w:type="paragraph" w:styleId="Corpodeltesto2">
    <w:name w:val="Body Text 2"/>
    <w:basedOn w:val="Normale"/>
    <w:link w:val="Corpodeltesto2Carattere"/>
    <w:uiPriority w:val="99"/>
    <w:rsid w:val="00FB34FF"/>
    <w:pPr>
      <w:spacing w:after="80" w:line="360" w:lineRule="auto"/>
      <w:jc w:val="both"/>
    </w:pPr>
    <w:rPr>
      <w:rFonts w:ascii="Arial" w:hAnsi="Arial" w:cs="Arial"/>
      <w:sz w:val="23"/>
      <w:szCs w:val="23"/>
    </w:rPr>
  </w:style>
  <w:style w:type="character" w:customStyle="1" w:styleId="apple-converted-space">
    <w:name w:val="apple-converted-space"/>
    <w:basedOn w:val="Carpredefinitoparagrafo"/>
    <w:rsid w:val="00FB34FF"/>
  </w:style>
  <w:style w:type="paragraph" w:styleId="Rientrocorpodeltesto2">
    <w:name w:val="Body Text Indent 2"/>
    <w:basedOn w:val="Normale"/>
    <w:link w:val="Rientrocorpodeltesto2Carattere"/>
    <w:uiPriority w:val="99"/>
    <w:rsid w:val="00FB34FF"/>
    <w:pPr>
      <w:spacing w:after="120"/>
      <w:ind w:left="360"/>
      <w:jc w:val="both"/>
    </w:pPr>
    <w:rPr>
      <w:rFonts w:ascii="Arial" w:hAnsi="Arial" w:cs="Arial"/>
      <w:sz w:val="23"/>
      <w:szCs w:val="23"/>
    </w:rPr>
  </w:style>
  <w:style w:type="paragraph" w:styleId="Rientrocorpodeltesto3">
    <w:name w:val="Body Text Indent 3"/>
    <w:basedOn w:val="Normale"/>
    <w:link w:val="Rientrocorpodeltesto3Carattere"/>
    <w:uiPriority w:val="99"/>
    <w:rsid w:val="00FB34FF"/>
    <w:pPr>
      <w:spacing w:after="120"/>
      <w:ind w:left="540"/>
      <w:jc w:val="both"/>
    </w:pPr>
    <w:rPr>
      <w:rFonts w:ascii="Arial" w:hAnsi="Arial" w:cs="Arial"/>
      <w:sz w:val="23"/>
      <w:szCs w:val="23"/>
    </w:rPr>
  </w:style>
  <w:style w:type="character" w:styleId="Enfasigrassetto">
    <w:name w:val="Strong"/>
    <w:uiPriority w:val="22"/>
    <w:qFormat/>
    <w:rsid w:val="00FB34FF"/>
    <w:rPr>
      <w:b/>
      <w:bCs/>
    </w:rPr>
  </w:style>
  <w:style w:type="character" w:styleId="Enfasicorsivo">
    <w:name w:val="Emphasis"/>
    <w:uiPriority w:val="99"/>
    <w:qFormat/>
    <w:rsid w:val="00FB34FF"/>
    <w:rPr>
      <w:i/>
      <w:iCs/>
    </w:rPr>
  </w:style>
  <w:style w:type="paragraph" w:styleId="Testonormale">
    <w:name w:val="Plain Text"/>
    <w:basedOn w:val="Normale"/>
    <w:link w:val="TestonormaleCarattere"/>
    <w:uiPriority w:val="99"/>
    <w:rsid w:val="00FB34FF"/>
    <w:rPr>
      <w:rFonts w:ascii="Courier New" w:hAnsi="Courier New" w:cs="Courier New"/>
      <w:sz w:val="20"/>
      <w:szCs w:val="20"/>
    </w:rPr>
  </w:style>
  <w:style w:type="paragraph" w:styleId="Corpodeltesto3">
    <w:name w:val="Body Text 3"/>
    <w:basedOn w:val="Normale"/>
    <w:link w:val="Corpodeltesto3Carattere"/>
    <w:uiPriority w:val="99"/>
    <w:rsid w:val="00FB34FF"/>
    <w:pPr>
      <w:spacing w:after="120"/>
    </w:pPr>
    <w:rPr>
      <w:sz w:val="16"/>
      <w:szCs w:val="16"/>
    </w:rPr>
  </w:style>
  <w:style w:type="paragraph" w:customStyle="1" w:styleId="TAVOLARapann">
    <w:name w:val="TAVOLA Rapann"/>
    <w:next w:val="Normale"/>
    <w:link w:val="TAVOLARapannCarattere"/>
    <w:rsid w:val="00FB34FF"/>
    <w:pPr>
      <w:tabs>
        <w:tab w:val="left" w:pos="1276"/>
      </w:tabs>
      <w:spacing w:line="200" w:lineRule="exact"/>
      <w:ind w:left="1276" w:hanging="1276"/>
      <w:jc w:val="both"/>
    </w:pPr>
    <w:rPr>
      <w:rFonts w:ascii="Arial" w:hAnsi="Arial"/>
      <w:b/>
      <w:bCs/>
      <w:sz w:val="18"/>
    </w:rPr>
  </w:style>
  <w:style w:type="character" w:customStyle="1" w:styleId="TAVOLARapannCarattere">
    <w:name w:val="TAVOLA Rapann Carattere"/>
    <w:link w:val="TAVOLARapann"/>
    <w:rsid w:val="00FB34FF"/>
    <w:rPr>
      <w:rFonts w:ascii="Arial" w:hAnsi="Arial"/>
      <w:b/>
      <w:bCs/>
      <w:sz w:val="18"/>
      <w:lang w:val="it-IT" w:eastAsia="it-IT" w:bidi="ar-SA"/>
    </w:rPr>
  </w:style>
  <w:style w:type="paragraph" w:customStyle="1" w:styleId="tesina">
    <w:name w:val="tesina"/>
    <w:basedOn w:val="Normale"/>
    <w:rsid w:val="00FB34FF"/>
    <w:pPr>
      <w:widowControl w:val="0"/>
      <w:autoSpaceDE w:val="0"/>
      <w:autoSpaceDN w:val="0"/>
      <w:adjustRightInd w:val="0"/>
      <w:spacing w:line="285" w:lineRule="atLeast"/>
      <w:ind w:left="390" w:right="390"/>
      <w:jc w:val="both"/>
    </w:pPr>
  </w:style>
  <w:style w:type="paragraph" w:customStyle="1" w:styleId="desc">
    <w:name w:val="desc"/>
    <w:basedOn w:val="Normale"/>
    <w:rsid w:val="00FB34FF"/>
    <w:pPr>
      <w:spacing w:before="100" w:beforeAutospacing="1" w:after="100" w:afterAutospacing="1"/>
    </w:pPr>
  </w:style>
  <w:style w:type="character" w:customStyle="1" w:styleId="glossario">
    <w:name w:val="glossario"/>
    <w:basedOn w:val="Carpredefinitoparagrafo"/>
    <w:rsid w:val="00FB34FF"/>
  </w:style>
  <w:style w:type="paragraph" w:styleId="Testofumetto">
    <w:name w:val="Balloon Text"/>
    <w:basedOn w:val="Normale"/>
    <w:link w:val="TestofumettoCarattere"/>
    <w:uiPriority w:val="99"/>
    <w:rsid w:val="00B506F1"/>
    <w:rPr>
      <w:rFonts w:ascii="Tahoma" w:hAnsi="Tahoma"/>
      <w:sz w:val="16"/>
      <w:szCs w:val="16"/>
      <w:lang w:val="x-none" w:eastAsia="x-none"/>
    </w:rPr>
  </w:style>
  <w:style w:type="character" w:customStyle="1" w:styleId="TestofumettoCarattere">
    <w:name w:val="Testo fumetto Carattere"/>
    <w:link w:val="Testofumetto"/>
    <w:uiPriority w:val="99"/>
    <w:rsid w:val="00B506F1"/>
    <w:rPr>
      <w:rFonts w:ascii="Tahoma" w:hAnsi="Tahoma" w:cs="Tahoma"/>
      <w:sz w:val="16"/>
      <w:szCs w:val="16"/>
    </w:rPr>
  </w:style>
  <w:style w:type="character" w:styleId="Rimandocommento">
    <w:name w:val="annotation reference"/>
    <w:uiPriority w:val="99"/>
    <w:rsid w:val="002A2D78"/>
    <w:rPr>
      <w:sz w:val="16"/>
      <w:szCs w:val="16"/>
    </w:rPr>
  </w:style>
  <w:style w:type="paragraph" w:styleId="Testocommento">
    <w:name w:val="annotation text"/>
    <w:basedOn w:val="Normale"/>
    <w:link w:val="TestocommentoCarattere"/>
    <w:uiPriority w:val="99"/>
    <w:rsid w:val="002A2D78"/>
    <w:rPr>
      <w:sz w:val="20"/>
      <w:szCs w:val="20"/>
    </w:rPr>
  </w:style>
  <w:style w:type="character" w:customStyle="1" w:styleId="TestocommentoCarattere">
    <w:name w:val="Testo commento Carattere"/>
    <w:basedOn w:val="Carpredefinitoparagrafo"/>
    <w:link w:val="Testocommento"/>
    <w:uiPriority w:val="99"/>
    <w:rsid w:val="002A2D78"/>
  </w:style>
  <w:style w:type="paragraph" w:styleId="Soggettocommento">
    <w:name w:val="annotation subject"/>
    <w:basedOn w:val="Testocommento"/>
    <w:next w:val="Testocommento"/>
    <w:link w:val="SoggettocommentoCarattere"/>
    <w:uiPriority w:val="99"/>
    <w:rsid w:val="002A2D78"/>
    <w:rPr>
      <w:b/>
      <w:bCs/>
    </w:rPr>
  </w:style>
  <w:style w:type="character" w:customStyle="1" w:styleId="SoggettocommentoCarattere">
    <w:name w:val="Soggetto commento Carattere"/>
    <w:link w:val="Soggettocommento"/>
    <w:uiPriority w:val="99"/>
    <w:rsid w:val="002A2D78"/>
    <w:rPr>
      <w:b/>
      <w:bCs/>
    </w:rPr>
  </w:style>
  <w:style w:type="paragraph" w:styleId="Paragrafoelenco">
    <w:name w:val="List Paragraph"/>
    <w:basedOn w:val="Normale"/>
    <w:uiPriority w:val="34"/>
    <w:qFormat/>
    <w:rsid w:val="009C4DFF"/>
    <w:pPr>
      <w:ind w:left="720"/>
      <w:contextualSpacing/>
    </w:pPr>
  </w:style>
  <w:style w:type="character" w:customStyle="1" w:styleId="PidipaginaCarattere">
    <w:name w:val="Piè di pagina Carattere"/>
    <w:basedOn w:val="Carpredefinitoparagrafo"/>
    <w:link w:val="Pidipagina"/>
    <w:uiPriority w:val="99"/>
    <w:rsid w:val="00CC37A8"/>
    <w:rPr>
      <w:rFonts w:ascii="Garamond" w:hAnsi="Garamond"/>
      <w:sz w:val="28"/>
      <w:szCs w:val="24"/>
    </w:rPr>
  </w:style>
  <w:style w:type="character" w:customStyle="1" w:styleId="mw-headline">
    <w:name w:val="mw-headline"/>
    <w:basedOn w:val="Carpredefinitoparagrafo"/>
    <w:rsid w:val="00CF66EE"/>
  </w:style>
  <w:style w:type="table" w:styleId="Grigliatabella">
    <w:name w:val="Table Grid"/>
    <w:basedOn w:val="Tabellanormale"/>
    <w:uiPriority w:val="39"/>
    <w:rsid w:val="00614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AB47ED"/>
    <w:rPr>
      <w:sz w:val="24"/>
      <w:szCs w:val="24"/>
    </w:rPr>
  </w:style>
  <w:style w:type="character" w:customStyle="1" w:styleId="IntestazioneCarattere">
    <w:name w:val="Intestazione Carattere"/>
    <w:basedOn w:val="Carpredefinitoparagrafo"/>
    <w:link w:val="Intestazione"/>
    <w:uiPriority w:val="99"/>
    <w:rsid w:val="00DF2FE2"/>
    <w:rPr>
      <w:rFonts w:ascii="Garamond" w:hAnsi="Garamond"/>
      <w:sz w:val="28"/>
      <w:szCs w:val="24"/>
    </w:rPr>
  </w:style>
  <w:style w:type="character" w:customStyle="1" w:styleId="TestonotaapidipaginaCarattere">
    <w:name w:val="Testo nota a piè di pagina Carattere"/>
    <w:aliases w:val="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DD1259"/>
  </w:style>
  <w:style w:type="paragraph" w:styleId="Testonotadichiusura">
    <w:name w:val="endnote text"/>
    <w:basedOn w:val="Normale"/>
    <w:link w:val="TestonotadichiusuraCarattere"/>
    <w:uiPriority w:val="99"/>
    <w:unhideWhenUsed/>
    <w:rsid w:val="00C91EBC"/>
    <w:rPr>
      <w:sz w:val="20"/>
      <w:szCs w:val="20"/>
    </w:rPr>
  </w:style>
  <w:style w:type="character" w:customStyle="1" w:styleId="TestonotadichiusuraCarattere">
    <w:name w:val="Testo nota di chiusura Carattere"/>
    <w:basedOn w:val="Carpredefinitoparagrafo"/>
    <w:link w:val="Testonotadichiusura"/>
    <w:uiPriority w:val="99"/>
    <w:rsid w:val="00C91EBC"/>
  </w:style>
  <w:style w:type="character" w:styleId="Rimandonotadichiusura">
    <w:name w:val="endnote reference"/>
    <w:basedOn w:val="Carpredefinitoparagrafo"/>
    <w:uiPriority w:val="99"/>
    <w:semiHidden/>
    <w:unhideWhenUsed/>
    <w:rsid w:val="00C91EBC"/>
    <w:rPr>
      <w:vertAlign w:val="superscript"/>
    </w:rPr>
  </w:style>
  <w:style w:type="paragraph" w:customStyle="1" w:styleId="Default">
    <w:name w:val="Default"/>
    <w:rsid w:val="00A2532B"/>
    <w:pPr>
      <w:autoSpaceDE w:val="0"/>
      <w:autoSpaceDN w:val="0"/>
      <w:adjustRightInd w:val="0"/>
    </w:pPr>
    <w:rPr>
      <w:color w:val="000000"/>
      <w:sz w:val="24"/>
      <w:szCs w:val="24"/>
    </w:rPr>
  </w:style>
  <w:style w:type="character" w:customStyle="1" w:styleId="Titolo5Carattere">
    <w:name w:val="Titolo 5 Carattere"/>
    <w:basedOn w:val="Carpredefinitoparagrafo"/>
    <w:link w:val="Titolo5"/>
    <w:uiPriority w:val="99"/>
    <w:rsid w:val="0007346F"/>
    <w:rPr>
      <w:rFonts w:asciiTheme="majorHAnsi" w:eastAsiaTheme="majorEastAsia" w:hAnsiTheme="majorHAnsi" w:cstheme="majorBidi"/>
      <w:color w:val="243F60" w:themeColor="accent1" w:themeShade="7F"/>
      <w:sz w:val="24"/>
      <w:szCs w:val="24"/>
    </w:rPr>
  </w:style>
  <w:style w:type="character" w:customStyle="1" w:styleId="Titolo4Carattere">
    <w:name w:val="Titolo 4 Carattere"/>
    <w:basedOn w:val="Carpredefinitoparagrafo"/>
    <w:link w:val="Titolo4"/>
    <w:uiPriority w:val="99"/>
    <w:rsid w:val="0007346F"/>
    <w:rPr>
      <w:rFonts w:ascii="Calibri" w:hAnsi="Calibri"/>
      <w:b/>
      <w:bCs/>
      <w:sz w:val="28"/>
      <w:szCs w:val="28"/>
    </w:rPr>
  </w:style>
  <w:style w:type="character" w:customStyle="1" w:styleId="Titolo1Carattere">
    <w:name w:val="Titolo 1 Carattere"/>
    <w:basedOn w:val="Carpredefinitoparagrafo"/>
    <w:link w:val="Titolo1"/>
    <w:uiPriority w:val="99"/>
    <w:locked/>
    <w:rsid w:val="0007346F"/>
    <w:rPr>
      <w:rFonts w:ascii="Verdana" w:hAnsi="Verdana"/>
      <w:b/>
      <w:bCs/>
      <w:sz w:val="22"/>
      <w:szCs w:val="24"/>
    </w:rPr>
  </w:style>
  <w:style w:type="character" w:customStyle="1" w:styleId="Titolo2Carattere">
    <w:name w:val="Titolo 2 Carattere"/>
    <w:basedOn w:val="Carpredefinitoparagrafo"/>
    <w:link w:val="Titolo2"/>
    <w:uiPriority w:val="99"/>
    <w:locked/>
    <w:rsid w:val="0007346F"/>
    <w:rPr>
      <w:rFonts w:ascii="Verdana" w:hAnsi="Verdana"/>
      <w:bCs/>
      <w:i/>
      <w:sz w:val="21"/>
      <w:szCs w:val="36"/>
    </w:rPr>
  </w:style>
  <w:style w:type="character" w:customStyle="1" w:styleId="Titolo3Carattere">
    <w:name w:val="Titolo 3 Carattere"/>
    <w:basedOn w:val="Carpredefinitoparagrafo"/>
    <w:link w:val="Titolo3"/>
    <w:uiPriority w:val="99"/>
    <w:locked/>
    <w:rsid w:val="0007346F"/>
    <w:rPr>
      <w:b/>
      <w:bCs/>
      <w:sz w:val="27"/>
      <w:szCs w:val="27"/>
    </w:rPr>
  </w:style>
  <w:style w:type="character" w:customStyle="1" w:styleId="Titolo6Carattere">
    <w:name w:val="Titolo 6 Carattere"/>
    <w:basedOn w:val="Carpredefinitoparagrafo"/>
    <w:link w:val="Titolo6"/>
    <w:uiPriority w:val="99"/>
    <w:locked/>
    <w:rsid w:val="0007346F"/>
    <w:rPr>
      <w:b/>
      <w:bCs/>
      <w:sz w:val="22"/>
      <w:szCs w:val="22"/>
    </w:rPr>
  </w:style>
  <w:style w:type="character" w:customStyle="1" w:styleId="CorpotestoCarattere">
    <w:name w:val="Corpo testo Carattere"/>
    <w:basedOn w:val="Carpredefinitoparagrafo"/>
    <w:link w:val="Corpotesto"/>
    <w:uiPriority w:val="99"/>
    <w:locked/>
    <w:rsid w:val="0007346F"/>
    <w:rPr>
      <w:rFonts w:ascii="Arial" w:hAnsi="Arial" w:cs="Arial"/>
      <w:b/>
      <w:bCs/>
      <w:sz w:val="24"/>
      <w:szCs w:val="23"/>
    </w:rPr>
  </w:style>
  <w:style w:type="character" w:customStyle="1" w:styleId="Corpodeltesto3Carattere">
    <w:name w:val="Corpo del testo 3 Carattere"/>
    <w:basedOn w:val="Carpredefinitoparagrafo"/>
    <w:link w:val="Corpodeltesto3"/>
    <w:uiPriority w:val="99"/>
    <w:locked/>
    <w:rsid w:val="0007346F"/>
    <w:rPr>
      <w:sz w:val="16"/>
      <w:szCs w:val="16"/>
    </w:rPr>
  </w:style>
  <w:style w:type="paragraph" w:styleId="Mappadocumento">
    <w:name w:val="Document Map"/>
    <w:basedOn w:val="Normale"/>
    <w:link w:val="MappadocumentoCarattere"/>
    <w:uiPriority w:val="99"/>
    <w:rsid w:val="0007346F"/>
    <w:pPr>
      <w:shd w:val="clear" w:color="auto" w:fill="000080"/>
    </w:pPr>
    <w:rPr>
      <w:sz w:val="2"/>
      <w:szCs w:val="2"/>
    </w:rPr>
  </w:style>
  <w:style w:type="character" w:customStyle="1" w:styleId="MappadocumentoCarattere">
    <w:name w:val="Mappa documento Carattere"/>
    <w:basedOn w:val="Carpredefinitoparagrafo"/>
    <w:link w:val="Mappadocumento"/>
    <w:uiPriority w:val="99"/>
    <w:rsid w:val="0007346F"/>
    <w:rPr>
      <w:sz w:val="2"/>
      <w:szCs w:val="2"/>
      <w:shd w:val="clear" w:color="auto" w:fill="000080"/>
    </w:rPr>
  </w:style>
  <w:style w:type="character" w:customStyle="1" w:styleId="RientrocorpodeltestoCarattere">
    <w:name w:val="Rientro corpo del testo Carattere"/>
    <w:basedOn w:val="Carpredefinitoparagrafo"/>
    <w:link w:val="Rientrocorpodeltesto"/>
    <w:uiPriority w:val="99"/>
    <w:locked/>
    <w:rsid w:val="0007346F"/>
    <w:rPr>
      <w:rFonts w:ascii="Verdana" w:hAnsi="Verdana"/>
      <w:sz w:val="22"/>
      <w:szCs w:val="24"/>
    </w:rPr>
  </w:style>
  <w:style w:type="paragraph" w:customStyle="1" w:styleId="Comunicato">
    <w:name w:val="Comunicato"/>
    <w:basedOn w:val="Normale"/>
    <w:link w:val="ComunicatoCarattere"/>
    <w:uiPriority w:val="99"/>
    <w:rsid w:val="0007346F"/>
    <w:pPr>
      <w:jc w:val="both"/>
    </w:pPr>
    <w:rPr>
      <w:sz w:val="23"/>
      <w:szCs w:val="20"/>
    </w:rPr>
  </w:style>
  <w:style w:type="character" w:customStyle="1" w:styleId="ComunicatoCarattere">
    <w:name w:val="Comunicato Carattere"/>
    <w:link w:val="Comunicato"/>
    <w:uiPriority w:val="99"/>
    <w:locked/>
    <w:rsid w:val="0007346F"/>
    <w:rPr>
      <w:sz w:val="23"/>
    </w:rPr>
  </w:style>
  <w:style w:type="paragraph" w:styleId="Sommario1">
    <w:name w:val="toc 1"/>
    <w:basedOn w:val="Normale"/>
    <w:next w:val="Normale"/>
    <w:autoRedefine/>
    <w:uiPriority w:val="99"/>
    <w:rsid w:val="0007346F"/>
    <w:pPr>
      <w:tabs>
        <w:tab w:val="right" w:leader="dot" w:pos="9060"/>
      </w:tabs>
      <w:spacing w:before="40" w:after="80"/>
    </w:pPr>
    <w:rPr>
      <w:rFonts w:ascii="Verdana" w:hAnsi="Verdana" w:cs="Verdana"/>
      <w:i/>
      <w:iCs/>
      <w:noProof/>
      <w:color w:val="800000"/>
      <w:sz w:val="18"/>
      <w:szCs w:val="18"/>
    </w:rPr>
  </w:style>
  <w:style w:type="character" w:customStyle="1" w:styleId="TestonormaleCarattere">
    <w:name w:val="Testo normale Carattere"/>
    <w:basedOn w:val="Carpredefinitoparagrafo"/>
    <w:link w:val="Testonormale"/>
    <w:uiPriority w:val="99"/>
    <w:locked/>
    <w:rsid w:val="0007346F"/>
    <w:rPr>
      <w:rFonts w:ascii="Courier New" w:hAnsi="Courier New" w:cs="Courier New"/>
    </w:rPr>
  </w:style>
  <w:style w:type="character" w:customStyle="1" w:styleId="CarattereCarattere9">
    <w:name w:val="Carattere Carattere9"/>
    <w:uiPriority w:val="99"/>
    <w:semiHidden/>
    <w:locked/>
    <w:rsid w:val="0007346F"/>
    <w:rPr>
      <w:sz w:val="20"/>
    </w:rPr>
  </w:style>
  <w:style w:type="character" w:styleId="Collegamentovisitato">
    <w:name w:val="FollowedHyperlink"/>
    <w:basedOn w:val="Carpredefinitoparagrafo"/>
    <w:uiPriority w:val="99"/>
    <w:unhideWhenUsed/>
    <w:rsid w:val="0007346F"/>
    <w:rPr>
      <w:color w:val="800080" w:themeColor="followedHyperlink"/>
      <w:u w:val="single"/>
    </w:rPr>
  </w:style>
  <w:style w:type="table" w:styleId="Sfondochiaro-Colore2">
    <w:name w:val="Light Shading Accent 2"/>
    <w:basedOn w:val="Tabellanormale"/>
    <w:uiPriority w:val="60"/>
    <w:rsid w:val="00695F6B"/>
    <w:rPr>
      <w:rFonts w:asciiTheme="minorHAnsi" w:eastAsiaTheme="minorEastAsia" w:hAnsiTheme="minorHAnsi"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00TitoGra1">
    <w:name w:val="00TitoGra1"/>
    <w:basedOn w:val="Normale"/>
    <w:qFormat/>
    <w:rsid w:val="0038412A"/>
    <w:pPr>
      <w:widowControl w:val="0"/>
      <w:overflowPunct w:val="0"/>
      <w:autoSpaceDE w:val="0"/>
      <w:autoSpaceDN w:val="0"/>
      <w:adjustRightInd w:val="0"/>
      <w:spacing w:line="280" w:lineRule="exact"/>
    </w:pPr>
    <w:rPr>
      <w:rFonts w:ascii="Calibri" w:hAnsi="Calibri" w:cs="Arial"/>
      <w:b/>
      <w:color w:val="D90B13"/>
      <w:kern w:val="28"/>
      <w:sz w:val="28"/>
      <w:szCs w:val="28"/>
    </w:rPr>
  </w:style>
  <w:style w:type="paragraph" w:customStyle="1" w:styleId="ATitoloTavolaFigura">
    <w:name w:val="A.Titolo Tavola/Figura"/>
    <w:link w:val="ATitoloTavolaFiguraCarattere"/>
    <w:rsid w:val="00015D71"/>
    <w:pPr>
      <w:spacing w:before="440" w:after="180"/>
      <w:ind w:left="1202" w:hanging="1202"/>
      <w:jc w:val="both"/>
      <w:outlineLvl w:val="0"/>
    </w:pPr>
    <w:rPr>
      <w:rFonts w:cs="Arial"/>
      <w:b/>
      <w:szCs w:val="18"/>
    </w:rPr>
  </w:style>
  <w:style w:type="character" w:customStyle="1" w:styleId="ATitoloTavolaFiguraCarattere">
    <w:name w:val="A.Titolo Tavola/Figura Carattere"/>
    <w:link w:val="ATitoloTavolaFigura"/>
    <w:rsid w:val="00015D71"/>
    <w:rPr>
      <w:rFonts w:cs="Arial"/>
      <w:b/>
      <w:szCs w:val="18"/>
    </w:rPr>
  </w:style>
  <w:style w:type="character" w:customStyle="1" w:styleId="Titolo7Carattere">
    <w:name w:val="Titolo 7 Carattere"/>
    <w:basedOn w:val="Carpredefinitoparagrafo"/>
    <w:link w:val="Titolo7"/>
    <w:rsid w:val="008512A6"/>
    <w:rPr>
      <w:rFonts w:ascii="Arial" w:hAnsi="Arial"/>
    </w:rPr>
  </w:style>
  <w:style w:type="character" w:customStyle="1" w:styleId="Titolo8Carattere">
    <w:name w:val="Titolo 8 Carattere"/>
    <w:basedOn w:val="Carpredefinitoparagrafo"/>
    <w:link w:val="Titolo8"/>
    <w:rsid w:val="008512A6"/>
    <w:rPr>
      <w:rFonts w:ascii="Arial" w:hAnsi="Arial" w:cs="Arial"/>
      <w:b/>
      <w:sz w:val="22"/>
      <w:szCs w:val="22"/>
    </w:rPr>
  </w:style>
  <w:style w:type="character" w:customStyle="1" w:styleId="Titolo9Carattere">
    <w:name w:val="Titolo 9 Carattere"/>
    <w:basedOn w:val="Carpredefinitoparagrafo"/>
    <w:link w:val="Titolo9"/>
    <w:rsid w:val="008512A6"/>
    <w:rPr>
      <w:rFonts w:ascii="Arial" w:hAnsi="Arial"/>
      <w:i/>
      <w:sz w:val="18"/>
    </w:rPr>
  </w:style>
  <w:style w:type="paragraph" w:customStyle="1" w:styleId="PlainText1">
    <w:name w:val="Plain Text1"/>
    <w:basedOn w:val="Normale"/>
    <w:rsid w:val="008512A6"/>
    <w:pPr>
      <w:overflowPunct w:val="0"/>
      <w:autoSpaceDE w:val="0"/>
      <w:autoSpaceDN w:val="0"/>
      <w:adjustRightInd w:val="0"/>
      <w:textAlignment w:val="baseline"/>
    </w:pPr>
    <w:rPr>
      <w:rFonts w:ascii="Courier New" w:hAnsi="Courier New"/>
      <w:sz w:val="20"/>
      <w:szCs w:val="20"/>
    </w:rPr>
  </w:style>
  <w:style w:type="paragraph" w:customStyle="1" w:styleId="Testonormale1">
    <w:name w:val="Testo normale1"/>
    <w:basedOn w:val="Normale"/>
    <w:rsid w:val="008512A6"/>
    <w:pPr>
      <w:overflowPunct w:val="0"/>
      <w:autoSpaceDE w:val="0"/>
      <w:autoSpaceDN w:val="0"/>
      <w:adjustRightInd w:val="0"/>
      <w:textAlignment w:val="baseline"/>
    </w:pPr>
    <w:rPr>
      <w:rFonts w:ascii="Courier New" w:hAnsi="Courier New"/>
      <w:sz w:val="20"/>
      <w:szCs w:val="20"/>
    </w:rPr>
  </w:style>
  <w:style w:type="paragraph" w:customStyle="1" w:styleId="tittav">
    <w:name w:val="tit_tav"/>
    <w:basedOn w:val="Normale"/>
    <w:rsid w:val="008512A6"/>
    <w:pPr>
      <w:spacing w:after="120"/>
      <w:jc w:val="both"/>
    </w:pPr>
    <w:rPr>
      <w:rFonts w:ascii="Arial" w:hAnsi="Arial"/>
      <w:b/>
      <w:i/>
      <w:sz w:val="20"/>
      <w:szCs w:val="20"/>
    </w:rPr>
  </w:style>
  <w:style w:type="paragraph" w:customStyle="1" w:styleId="prospetto">
    <w:name w:val="prospetto"/>
    <w:basedOn w:val="tittav"/>
    <w:rsid w:val="008512A6"/>
    <w:pPr>
      <w:tabs>
        <w:tab w:val="left" w:pos="1588"/>
        <w:tab w:val="left" w:pos="1985"/>
      </w:tabs>
      <w:spacing w:before="240" w:after="80"/>
      <w:ind w:left="1474" w:hanging="1474"/>
    </w:pPr>
    <w:rPr>
      <w:i w:val="0"/>
      <w:sz w:val="16"/>
    </w:rPr>
  </w:style>
  <w:style w:type="paragraph" w:customStyle="1" w:styleId="testata">
    <w:name w:val="testata"/>
    <w:basedOn w:val="Normale"/>
    <w:rsid w:val="008512A6"/>
    <w:pPr>
      <w:jc w:val="center"/>
    </w:pPr>
    <w:rPr>
      <w:rFonts w:ascii="Arial" w:hAnsi="Arial"/>
      <w:caps/>
      <w:sz w:val="16"/>
      <w:szCs w:val="20"/>
    </w:rPr>
  </w:style>
  <w:style w:type="paragraph" w:customStyle="1" w:styleId="fiancata">
    <w:name w:val="fiancata"/>
    <w:basedOn w:val="Normale"/>
    <w:rsid w:val="008512A6"/>
    <w:rPr>
      <w:rFonts w:ascii="Arial" w:hAnsi="Arial"/>
      <w:caps/>
      <w:sz w:val="16"/>
      <w:szCs w:val="20"/>
    </w:rPr>
  </w:style>
  <w:style w:type="paragraph" w:customStyle="1" w:styleId="ulttest">
    <w:name w:val="ult.test"/>
    <w:basedOn w:val="fiancata"/>
    <w:rsid w:val="008512A6"/>
    <w:pPr>
      <w:jc w:val="right"/>
    </w:pPr>
    <w:rPr>
      <w:caps w:val="0"/>
    </w:rPr>
  </w:style>
  <w:style w:type="paragraph" w:customStyle="1" w:styleId="ultfianc">
    <w:name w:val="ult.fianc"/>
    <w:basedOn w:val="Normale"/>
    <w:rsid w:val="008512A6"/>
    <w:pPr>
      <w:ind w:firstLine="397"/>
    </w:pPr>
    <w:rPr>
      <w:rFonts w:ascii="Arial" w:hAnsi="Arial"/>
      <w:caps/>
      <w:sz w:val="16"/>
      <w:szCs w:val="20"/>
    </w:rPr>
  </w:style>
  <w:style w:type="paragraph" w:customStyle="1" w:styleId="item">
    <w:name w:val="item"/>
    <w:basedOn w:val="Normale"/>
    <w:rsid w:val="008512A6"/>
    <w:pPr>
      <w:ind w:left="397"/>
    </w:pPr>
    <w:rPr>
      <w:rFonts w:ascii="Arial" w:hAnsi="Arial"/>
      <w:sz w:val="16"/>
      <w:szCs w:val="20"/>
    </w:rPr>
  </w:style>
  <w:style w:type="paragraph" w:customStyle="1" w:styleId="totale">
    <w:name w:val="totale"/>
    <w:basedOn w:val="Normale"/>
    <w:rsid w:val="008512A6"/>
    <w:pPr>
      <w:ind w:left="397"/>
    </w:pPr>
    <w:rPr>
      <w:rFonts w:ascii="Arial" w:hAnsi="Arial"/>
      <w:b/>
      <w:sz w:val="16"/>
      <w:szCs w:val="20"/>
    </w:rPr>
  </w:style>
  <w:style w:type="paragraph" w:customStyle="1" w:styleId="valori">
    <w:name w:val="valori"/>
    <w:basedOn w:val="item"/>
    <w:rsid w:val="008512A6"/>
    <w:pPr>
      <w:ind w:left="0"/>
      <w:jc w:val="right"/>
    </w:pPr>
  </w:style>
  <w:style w:type="paragraph" w:styleId="Didascalia">
    <w:name w:val="caption"/>
    <w:basedOn w:val="prospetto"/>
    <w:next w:val="Normale"/>
    <w:uiPriority w:val="35"/>
    <w:qFormat/>
    <w:rsid w:val="008512A6"/>
    <w:pPr>
      <w:spacing w:before="360"/>
    </w:pPr>
    <w:rPr>
      <w:sz w:val="18"/>
    </w:rPr>
  </w:style>
  <w:style w:type="paragraph" w:styleId="Sommario2">
    <w:name w:val="toc 2"/>
    <w:basedOn w:val="Normale"/>
    <w:next w:val="Normale"/>
    <w:rsid w:val="008512A6"/>
    <w:pPr>
      <w:tabs>
        <w:tab w:val="right" w:pos="7936"/>
      </w:tabs>
      <w:ind w:left="397"/>
    </w:pPr>
    <w:rPr>
      <w:b/>
      <w:smallCaps/>
      <w:sz w:val="16"/>
      <w:szCs w:val="20"/>
    </w:rPr>
  </w:style>
  <w:style w:type="paragraph" w:styleId="Sommario3">
    <w:name w:val="toc 3"/>
    <w:basedOn w:val="Normale"/>
    <w:next w:val="Normale"/>
    <w:rsid w:val="008512A6"/>
    <w:pPr>
      <w:tabs>
        <w:tab w:val="right" w:pos="7936"/>
      </w:tabs>
      <w:ind w:left="1701" w:hanging="1134"/>
    </w:pPr>
    <w:rPr>
      <w:rFonts w:ascii="Arial" w:hAnsi="Arial"/>
      <w:sz w:val="16"/>
      <w:szCs w:val="20"/>
    </w:rPr>
  </w:style>
  <w:style w:type="paragraph" w:styleId="Sommario4">
    <w:name w:val="toc 4"/>
    <w:basedOn w:val="Normale"/>
    <w:next w:val="Normale"/>
    <w:rsid w:val="008512A6"/>
    <w:pPr>
      <w:tabs>
        <w:tab w:val="right" w:pos="7936"/>
      </w:tabs>
      <w:ind w:left="440" w:firstLine="397"/>
    </w:pPr>
    <w:rPr>
      <w:sz w:val="18"/>
      <w:szCs w:val="20"/>
    </w:rPr>
  </w:style>
  <w:style w:type="paragraph" w:styleId="Sommario5">
    <w:name w:val="toc 5"/>
    <w:basedOn w:val="Normale"/>
    <w:next w:val="Normale"/>
    <w:rsid w:val="008512A6"/>
    <w:pPr>
      <w:tabs>
        <w:tab w:val="right" w:pos="7936"/>
      </w:tabs>
      <w:ind w:left="660" w:firstLine="397"/>
    </w:pPr>
    <w:rPr>
      <w:sz w:val="18"/>
      <w:szCs w:val="20"/>
    </w:rPr>
  </w:style>
  <w:style w:type="paragraph" w:styleId="Sommario6">
    <w:name w:val="toc 6"/>
    <w:basedOn w:val="Normale"/>
    <w:next w:val="Normale"/>
    <w:rsid w:val="008512A6"/>
    <w:pPr>
      <w:tabs>
        <w:tab w:val="right" w:pos="7936"/>
      </w:tabs>
      <w:ind w:left="880" w:firstLine="397"/>
    </w:pPr>
    <w:rPr>
      <w:sz w:val="18"/>
      <w:szCs w:val="20"/>
    </w:rPr>
  </w:style>
  <w:style w:type="paragraph" w:styleId="Sommario7">
    <w:name w:val="toc 7"/>
    <w:basedOn w:val="Normale"/>
    <w:next w:val="Normale"/>
    <w:rsid w:val="008512A6"/>
    <w:pPr>
      <w:tabs>
        <w:tab w:val="right" w:pos="7936"/>
      </w:tabs>
      <w:ind w:left="1100" w:firstLine="397"/>
    </w:pPr>
    <w:rPr>
      <w:sz w:val="18"/>
      <w:szCs w:val="20"/>
    </w:rPr>
  </w:style>
  <w:style w:type="paragraph" w:styleId="Sommario8">
    <w:name w:val="toc 8"/>
    <w:basedOn w:val="Normale"/>
    <w:next w:val="Normale"/>
    <w:rsid w:val="008512A6"/>
    <w:pPr>
      <w:tabs>
        <w:tab w:val="right" w:pos="7936"/>
      </w:tabs>
      <w:ind w:left="1320" w:firstLine="397"/>
    </w:pPr>
    <w:rPr>
      <w:sz w:val="18"/>
      <w:szCs w:val="20"/>
    </w:rPr>
  </w:style>
  <w:style w:type="paragraph" w:styleId="Sommario9">
    <w:name w:val="toc 9"/>
    <w:basedOn w:val="Normale"/>
    <w:next w:val="Normale"/>
    <w:rsid w:val="008512A6"/>
    <w:pPr>
      <w:tabs>
        <w:tab w:val="right" w:pos="7936"/>
      </w:tabs>
      <w:ind w:left="1540" w:firstLine="397"/>
    </w:pPr>
    <w:rPr>
      <w:sz w:val="18"/>
      <w:szCs w:val="20"/>
    </w:rPr>
  </w:style>
  <w:style w:type="paragraph" w:customStyle="1" w:styleId="valtot">
    <w:name w:val="val_tot"/>
    <w:basedOn w:val="totale"/>
    <w:rsid w:val="008512A6"/>
    <w:pPr>
      <w:ind w:left="0"/>
      <w:jc w:val="right"/>
    </w:pPr>
  </w:style>
  <w:style w:type="paragraph" w:customStyle="1" w:styleId="GRAFICO">
    <w:name w:val="GRAFICO"/>
    <w:basedOn w:val="prospetto"/>
    <w:rsid w:val="008512A6"/>
    <w:pPr>
      <w:spacing w:after="120"/>
      <w:ind w:left="284" w:hanging="284"/>
    </w:pPr>
  </w:style>
  <w:style w:type="paragraph" w:customStyle="1" w:styleId="Graf">
    <w:name w:val="Graf."/>
    <w:basedOn w:val="prospetto"/>
    <w:rsid w:val="008512A6"/>
    <w:pPr>
      <w:tabs>
        <w:tab w:val="clear" w:pos="1985"/>
        <w:tab w:val="left" w:pos="3261"/>
      </w:tabs>
      <w:spacing w:before="100" w:after="100"/>
      <w:ind w:left="1985" w:right="1415" w:hanging="851"/>
    </w:pPr>
  </w:style>
  <w:style w:type="paragraph" w:customStyle="1" w:styleId="Stile2">
    <w:name w:val="Stile2"/>
    <w:basedOn w:val="Normale"/>
    <w:rsid w:val="008512A6"/>
    <w:pPr>
      <w:spacing w:before="120"/>
      <w:ind w:left="567" w:right="567"/>
      <w:jc w:val="both"/>
    </w:pPr>
    <w:rPr>
      <w:rFonts w:ascii="Arial" w:hAnsi="Arial"/>
      <w:szCs w:val="20"/>
    </w:rPr>
  </w:style>
  <w:style w:type="paragraph" w:styleId="Indice1">
    <w:name w:val="index 1"/>
    <w:basedOn w:val="Normale"/>
    <w:next w:val="Normale"/>
    <w:rsid w:val="008512A6"/>
    <w:pPr>
      <w:tabs>
        <w:tab w:val="right" w:leader="dot" w:pos="4629"/>
      </w:tabs>
      <w:ind w:left="220" w:hanging="220"/>
    </w:pPr>
    <w:rPr>
      <w:sz w:val="20"/>
      <w:szCs w:val="20"/>
    </w:rPr>
  </w:style>
  <w:style w:type="paragraph" w:styleId="Indice2">
    <w:name w:val="index 2"/>
    <w:basedOn w:val="Normale"/>
    <w:next w:val="Normale"/>
    <w:rsid w:val="008512A6"/>
    <w:pPr>
      <w:tabs>
        <w:tab w:val="right" w:leader="dot" w:pos="4629"/>
      </w:tabs>
      <w:ind w:left="440" w:hanging="220"/>
    </w:pPr>
    <w:rPr>
      <w:sz w:val="20"/>
      <w:szCs w:val="20"/>
    </w:rPr>
  </w:style>
  <w:style w:type="paragraph" w:styleId="Indice3">
    <w:name w:val="index 3"/>
    <w:basedOn w:val="Normale"/>
    <w:next w:val="Normale"/>
    <w:rsid w:val="008512A6"/>
    <w:pPr>
      <w:tabs>
        <w:tab w:val="right" w:leader="dot" w:pos="4629"/>
      </w:tabs>
      <w:ind w:left="660" w:hanging="220"/>
    </w:pPr>
    <w:rPr>
      <w:sz w:val="20"/>
      <w:szCs w:val="20"/>
    </w:rPr>
  </w:style>
  <w:style w:type="paragraph" w:styleId="Indice4">
    <w:name w:val="index 4"/>
    <w:basedOn w:val="Normale"/>
    <w:next w:val="Normale"/>
    <w:rsid w:val="008512A6"/>
    <w:pPr>
      <w:tabs>
        <w:tab w:val="right" w:leader="dot" w:pos="4629"/>
      </w:tabs>
      <w:ind w:left="880" w:hanging="220"/>
    </w:pPr>
    <w:rPr>
      <w:sz w:val="20"/>
      <w:szCs w:val="20"/>
    </w:rPr>
  </w:style>
  <w:style w:type="paragraph" w:styleId="Indice5">
    <w:name w:val="index 5"/>
    <w:basedOn w:val="Normale"/>
    <w:next w:val="Normale"/>
    <w:rsid w:val="008512A6"/>
    <w:pPr>
      <w:tabs>
        <w:tab w:val="right" w:leader="dot" w:pos="4629"/>
      </w:tabs>
      <w:ind w:left="1100" w:hanging="220"/>
    </w:pPr>
    <w:rPr>
      <w:sz w:val="20"/>
      <w:szCs w:val="20"/>
    </w:rPr>
  </w:style>
  <w:style w:type="paragraph" w:styleId="Indice6">
    <w:name w:val="index 6"/>
    <w:basedOn w:val="Normale"/>
    <w:next w:val="Normale"/>
    <w:rsid w:val="008512A6"/>
    <w:pPr>
      <w:tabs>
        <w:tab w:val="right" w:leader="dot" w:pos="4629"/>
      </w:tabs>
      <w:ind w:left="1320" w:hanging="220"/>
    </w:pPr>
    <w:rPr>
      <w:sz w:val="20"/>
      <w:szCs w:val="20"/>
    </w:rPr>
  </w:style>
  <w:style w:type="paragraph" w:styleId="Indice7">
    <w:name w:val="index 7"/>
    <w:basedOn w:val="Normale"/>
    <w:next w:val="Normale"/>
    <w:rsid w:val="008512A6"/>
    <w:pPr>
      <w:tabs>
        <w:tab w:val="right" w:leader="dot" w:pos="4629"/>
      </w:tabs>
      <w:ind w:left="1540" w:hanging="220"/>
    </w:pPr>
    <w:rPr>
      <w:sz w:val="20"/>
      <w:szCs w:val="20"/>
    </w:rPr>
  </w:style>
  <w:style w:type="paragraph" w:styleId="Indice8">
    <w:name w:val="index 8"/>
    <w:basedOn w:val="Normale"/>
    <w:next w:val="Normale"/>
    <w:rsid w:val="008512A6"/>
    <w:pPr>
      <w:tabs>
        <w:tab w:val="right" w:leader="dot" w:pos="4629"/>
      </w:tabs>
      <w:ind w:left="1760" w:hanging="220"/>
    </w:pPr>
    <w:rPr>
      <w:sz w:val="20"/>
      <w:szCs w:val="20"/>
    </w:rPr>
  </w:style>
  <w:style w:type="paragraph" w:styleId="Indice9">
    <w:name w:val="index 9"/>
    <w:basedOn w:val="Normale"/>
    <w:next w:val="Normale"/>
    <w:rsid w:val="008512A6"/>
    <w:pPr>
      <w:tabs>
        <w:tab w:val="right" w:leader="dot" w:pos="4629"/>
      </w:tabs>
      <w:ind w:left="1980" w:hanging="220"/>
    </w:pPr>
    <w:rPr>
      <w:sz w:val="20"/>
      <w:szCs w:val="20"/>
    </w:rPr>
  </w:style>
  <w:style w:type="paragraph" w:styleId="Titoloindice">
    <w:name w:val="index heading"/>
    <w:basedOn w:val="Normale"/>
    <w:next w:val="Indice1"/>
    <w:rsid w:val="008512A6"/>
    <w:pPr>
      <w:spacing w:before="120" w:after="120"/>
      <w:ind w:firstLine="397"/>
    </w:pPr>
    <w:rPr>
      <w:b/>
      <w:i/>
      <w:sz w:val="20"/>
      <w:szCs w:val="20"/>
    </w:rPr>
  </w:style>
  <w:style w:type="paragraph" w:customStyle="1" w:styleId="Corpodeltesto21">
    <w:name w:val="Corpo del testo 21"/>
    <w:basedOn w:val="Normale"/>
    <w:rsid w:val="008512A6"/>
    <w:pPr>
      <w:ind w:firstLine="227"/>
      <w:jc w:val="both"/>
    </w:pPr>
    <w:rPr>
      <w:rFonts w:ascii="Arial" w:hAnsi="Arial"/>
      <w:sz w:val="22"/>
      <w:szCs w:val="20"/>
    </w:rPr>
  </w:style>
  <w:style w:type="character" w:customStyle="1" w:styleId="Rientrocorpodeltesto2Carattere">
    <w:name w:val="Rientro corpo del testo 2 Carattere"/>
    <w:link w:val="Rientrocorpodeltesto2"/>
    <w:uiPriority w:val="99"/>
    <w:rsid w:val="008512A6"/>
    <w:rPr>
      <w:rFonts w:ascii="Arial" w:hAnsi="Arial" w:cs="Arial"/>
      <w:sz w:val="23"/>
      <w:szCs w:val="23"/>
    </w:rPr>
  </w:style>
  <w:style w:type="character" w:customStyle="1" w:styleId="Rientrocorpodeltesto3Carattere">
    <w:name w:val="Rientro corpo del testo 3 Carattere"/>
    <w:link w:val="Rientrocorpodeltesto3"/>
    <w:uiPriority w:val="99"/>
    <w:rsid w:val="008512A6"/>
    <w:rPr>
      <w:rFonts w:ascii="Arial" w:hAnsi="Arial" w:cs="Arial"/>
      <w:sz w:val="23"/>
      <w:szCs w:val="23"/>
    </w:rPr>
  </w:style>
  <w:style w:type="paragraph" w:customStyle="1" w:styleId="BodyTextIndent21">
    <w:name w:val="Body Text Indent 21"/>
    <w:basedOn w:val="Normale"/>
    <w:rsid w:val="008512A6"/>
    <w:pPr>
      <w:widowControl w:val="0"/>
      <w:ind w:firstLine="425"/>
      <w:jc w:val="center"/>
    </w:pPr>
    <w:rPr>
      <w:rFonts w:ascii="Arial" w:hAnsi="Arial"/>
      <w:sz w:val="32"/>
      <w:szCs w:val="20"/>
    </w:rPr>
  </w:style>
  <w:style w:type="paragraph" w:customStyle="1" w:styleId="BodyTextIndent31">
    <w:name w:val="Body Text Indent 31"/>
    <w:basedOn w:val="Normale"/>
    <w:rsid w:val="008512A6"/>
    <w:pPr>
      <w:widowControl w:val="0"/>
      <w:ind w:firstLine="426"/>
      <w:jc w:val="both"/>
    </w:pPr>
    <w:rPr>
      <w:rFonts w:ascii="Arial" w:hAnsi="Arial"/>
      <w:sz w:val="20"/>
      <w:szCs w:val="20"/>
    </w:rPr>
  </w:style>
  <w:style w:type="paragraph" w:customStyle="1" w:styleId="Carattere">
    <w:name w:val="Carattere"/>
    <w:next w:val="Normale"/>
    <w:rsid w:val="008512A6"/>
    <w:rPr>
      <w:rFonts w:ascii="CG Times (W1)" w:hAnsi="CG Times (W1)"/>
      <w:noProof/>
    </w:rPr>
  </w:style>
  <w:style w:type="paragraph" w:styleId="Titolo">
    <w:name w:val="Title"/>
    <w:basedOn w:val="Normale"/>
    <w:link w:val="TitoloCarattere"/>
    <w:qFormat/>
    <w:rsid w:val="008512A6"/>
    <w:pPr>
      <w:tabs>
        <w:tab w:val="num" w:pos="360"/>
      </w:tabs>
      <w:jc w:val="center"/>
    </w:pPr>
    <w:rPr>
      <w:b/>
      <w:sz w:val="28"/>
      <w:szCs w:val="20"/>
    </w:rPr>
  </w:style>
  <w:style w:type="character" w:customStyle="1" w:styleId="TitoloCarattere">
    <w:name w:val="Titolo Carattere"/>
    <w:basedOn w:val="Carpredefinitoparagrafo"/>
    <w:link w:val="Titolo"/>
    <w:rsid w:val="008512A6"/>
    <w:rPr>
      <w:b/>
      <w:sz w:val="28"/>
    </w:rPr>
  </w:style>
  <w:style w:type="paragraph" w:styleId="Testodelblocco">
    <w:name w:val="Block Text"/>
    <w:basedOn w:val="Normale"/>
    <w:rsid w:val="008512A6"/>
    <w:pPr>
      <w:spacing w:line="360" w:lineRule="auto"/>
      <w:ind w:left="284" w:right="-794" w:firstLine="73"/>
      <w:jc w:val="both"/>
    </w:pPr>
    <w:rPr>
      <w:szCs w:val="20"/>
    </w:rPr>
  </w:style>
  <w:style w:type="paragraph" w:customStyle="1" w:styleId="xl24">
    <w:name w:val="xl24"/>
    <w:basedOn w:val="Normale"/>
    <w:rsid w:val="008512A6"/>
    <w:pPr>
      <w:spacing w:before="100" w:beforeAutospacing="1" w:after="100" w:afterAutospacing="1"/>
      <w:jc w:val="right"/>
    </w:pPr>
    <w:rPr>
      <w:rFonts w:ascii="Arial" w:eastAsia="Arial Unicode MS" w:hAnsi="Arial" w:cs="Arial"/>
      <w:sz w:val="16"/>
      <w:szCs w:val="16"/>
    </w:rPr>
  </w:style>
  <w:style w:type="character" w:customStyle="1" w:styleId="Menzionenonrisolta1">
    <w:name w:val="Menzione non risolta1"/>
    <w:basedOn w:val="Carpredefinitoparagrafo"/>
    <w:uiPriority w:val="99"/>
    <w:semiHidden/>
    <w:unhideWhenUsed/>
    <w:rsid w:val="00626A5A"/>
    <w:rPr>
      <w:color w:val="605E5C"/>
      <w:shd w:val="clear" w:color="auto" w:fill="E1DFDD"/>
    </w:rPr>
  </w:style>
  <w:style w:type="character" w:customStyle="1" w:styleId="markedcontent">
    <w:name w:val="markedcontent"/>
    <w:basedOn w:val="Carpredefinitoparagrafo"/>
    <w:rsid w:val="004A5B8B"/>
  </w:style>
  <w:style w:type="character" w:customStyle="1" w:styleId="Menzionenonrisolta2">
    <w:name w:val="Menzione non risolta2"/>
    <w:basedOn w:val="Carpredefinitoparagrafo"/>
    <w:uiPriority w:val="99"/>
    <w:semiHidden/>
    <w:unhideWhenUsed/>
    <w:rsid w:val="004A5B8B"/>
    <w:rPr>
      <w:color w:val="605E5C"/>
      <w:shd w:val="clear" w:color="auto" w:fill="E1DFDD"/>
    </w:rPr>
  </w:style>
  <w:style w:type="character" w:customStyle="1" w:styleId="taxonomy">
    <w:name w:val="taxonomy"/>
    <w:basedOn w:val="Carpredefinitoparagrafo"/>
    <w:rsid w:val="00704C87"/>
  </w:style>
  <w:style w:type="character" w:customStyle="1" w:styleId="Corpodeltesto2Carattere">
    <w:name w:val="Corpo del testo 2 Carattere"/>
    <w:basedOn w:val="Carpredefinitoparagrafo"/>
    <w:link w:val="Corpodeltesto2"/>
    <w:uiPriority w:val="99"/>
    <w:locked/>
    <w:rsid w:val="00704C87"/>
    <w:rPr>
      <w:rFonts w:ascii="Arial" w:hAnsi="Arial" w:cs="Arial"/>
      <w:sz w:val="23"/>
      <w:szCs w:val="23"/>
    </w:rPr>
  </w:style>
  <w:style w:type="paragraph" w:customStyle="1" w:styleId="Ann03Titoloparagrafo">
    <w:name w:val="Ann_03_Titolo paragrafo"/>
    <w:basedOn w:val="Normale"/>
    <w:link w:val="Ann03TitoloparagrafoCarattereCarattere"/>
    <w:rsid w:val="00704C87"/>
    <w:pPr>
      <w:tabs>
        <w:tab w:val="left" w:pos="432"/>
        <w:tab w:val="left" w:pos="720"/>
        <w:tab w:val="left" w:pos="1440"/>
        <w:tab w:val="left" w:pos="2160"/>
        <w:tab w:val="left" w:pos="3119"/>
        <w:tab w:val="left" w:pos="3600"/>
        <w:tab w:val="left" w:pos="4320"/>
        <w:tab w:val="left" w:pos="5040"/>
        <w:tab w:val="left" w:pos="5760"/>
        <w:tab w:val="left" w:pos="6480"/>
        <w:tab w:val="left" w:pos="7200"/>
        <w:tab w:val="right" w:leader="dot" w:pos="7371"/>
        <w:tab w:val="left" w:pos="7920"/>
        <w:tab w:val="left" w:pos="8640"/>
      </w:tabs>
      <w:spacing w:before="440" w:after="220"/>
    </w:pPr>
    <w:rPr>
      <w:b/>
      <w:sz w:val="22"/>
      <w:szCs w:val="22"/>
    </w:rPr>
  </w:style>
  <w:style w:type="character" w:customStyle="1" w:styleId="Ann03TitoloparagrafoCarattereCarattere">
    <w:name w:val="Ann_03_Titolo paragrafo Carattere Carattere"/>
    <w:link w:val="Ann03Titoloparagrafo"/>
    <w:locked/>
    <w:rsid w:val="00704C87"/>
    <w:rPr>
      <w:b/>
      <w:sz w:val="22"/>
      <w:szCs w:val="22"/>
    </w:rPr>
  </w:style>
  <w:style w:type="table" w:customStyle="1" w:styleId="Tabellasemplice-31">
    <w:name w:val="Tabella semplice - 31"/>
    <w:basedOn w:val="Tabellanormale"/>
    <w:uiPriority w:val="43"/>
    <w:rsid w:val="00704C87"/>
    <w:rPr>
      <w:rFonts w:asciiTheme="minorHAnsi" w:hAnsiTheme="minorHAnsi"/>
      <w:sz w:val="22"/>
      <w:szCs w:val="22"/>
      <w:lang w:eastAsia="en-US"/>
    </w:rPr>
    <w:tblPr>
      <w:tblStyleRowBandSize w:val="1"/>
      <w:tblStyleColBandSize w:val="1"/>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character" w:styleId="Testosegnaposto">
    <w:name w:val="Placeholder Text"/>
    <w:basedOn w:val="Carpredefinitoparagrafo"/>
    <w:uiPriority w:val="99"/>
    <w:semiHidden/>
    <w:rsid w:val="00704C87"/>
    <w:rPr>
      <w:color w:val="808080"/>
    </w:rPr>
  </w:style>
  <w:style w:type="paragraph" w:styleId="Nessunaspaziatura">
    <w:name w:val="No Spacing"/>
    <w:uiPriority w:val="1"/>
    <w:qFormat/>
    <w:rsid w:val="00A014B9"/>
    <w:pPr>
      <w:spacing w:after="120"/>
      <w:jc w:val="both"/>
    </w:pPr>
    <w:rPr>
      <w:rFonts w:ascii="Arial" w:eastAsiaTheme="minorHAnsi" w:hAnsi="Arial" w:cs="Arial"/>
      <w:lang w:eastAsia="en-US"/>
    </w:rPr>
  </w:style>
  <w:style w:type="paragraph" w:customStyle="1" w:styleId="footnotedescription">
    <w:name w:val="footnote description"/>
    <w:next w:val="Normale"/>
    <w:link w:val="footnotedescriptionChar"/>
    <w:hidden/>
    <w:rsid w:val="00A014B9"/>
    <w:pPr>
      <w:spacing w:line="259" w:lineRule="auto"/>
      <w:ind w:left="1702"/>
    </w:pPr>
    <w:rPr>
      <w:rFonts w:ascii="Arial" w:eastAsia="Arial" w:hAnsi="Arial" w:cs="Arial"/>
      <w:color w:val="000000"/>
      <w:sz w:val="16"/>
      <w:szCs w:val="22"/>
    </w:rPr>
  </w:style>
  <w:style w:type="character" w:customStyle="1" w:styleId="footnotedescriptionChar">
    <w:name w:val="footnote description Char"/>
    <w:link w:val="footnotedescription"/>
    <w:rsid w:val="00A014B9"/>
    <w:rPr>
      <w:rFonts w:ascii="Arial" w:eastAsia="Arial" w:hAnsi="Arial" w:cs="Arial"/>
      <w:color w:val="000000"/>
      <w:sz w:val="16"/>
      <w:szCs w:val="22"/>
    </w:rPr>
  </w:style>
  <w:style w:type="character" w:customStyle="1" w:styleId="footnotemark">
    <w:name w:val="footnote mark"/>
    <w:hidden/>
    <w:rsid w:val="00A014B9"/>
    <w:rPr>
      <w:rFonts w:ascii="Arial" w:eastAsia="Arial" w:hAnsi="Arial" w:cs="Arial"/>
      <w:color w:val="000000"/>
      <w:sz w:val="16"/>
      <w:vertAlign w:val="superscript"/>
    </w:rPr>
  </w:style>
  <w:style w:type="paragraph" w:customStyle="1" w:styleId="ftrefCharCharCharCharCharCharCharCharChar">
    <w:name w:val="ftref Char Char Char Char Char Char Char Char Char"/>
    <w:aliases w:val="Footnote Char Char Char Char Char Char Char Char Char,BVI fnr Char Char Char Char Char Char Char Char Char,BVI fnr Char Char Char Char Char Char Char Char Char Char"/>
    <w:basedOn w:val="Normale"/>
    <w:next w:val="Normale"/>
    <w:link w:val="Rimandonotaapidipagina"/>
    <w:uiPriority w:val="99"/>
    <w:rsid w:val="00A014B9"/>
    <w:pPr>
      <w:spacing w:after="160" w:line="240" w:lineRule="exact"/>
      <w:ind w:firstLine="397"/>
      <w:jc w:val="both"/>
    </w:pPr>
    <w:rPr>
      <w:sz w:val="20"/>
      <w:szCs w:val="20"/>
      <w:vertAlign w:val="superscript"/>
    </w:rPr>
  </w:style>
  <w:style w:type="character" w:customStyle="1" w:styleId="Menzionenonrisolta3">
    <w:name w:val="Menzione non risolta3"/>
    <w:basedOn w:val="Carpredefinitoparagrafo"/>
    <w:uiPriority w:val="99"/>
    <w:semiHidden/>
    <w:unhideWhenUsed/>
    <w:rsid w:val="00673E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21245">
      <w:bodyDiv w:val="1"/>
      <w:marLeft w:val="0"/>
      <w:marRight w:val="0"/>
      <w:marTop w:val="0"/>
      <w:marBottom w:val="0"/>
      <w:divBdr>
        <w:top w:val="none" w:sz="0" w:space="0" w:color="auto"/>
        <w:left w:val="none" w:sz="0" w:space="0" w:color="auto"/>
        <w:bottom w:val="none" w:sz="0" w:space="0" w:color="auto"/>
        <w:right w:val="none" w:sz="0" w:space="0" w:color="auto"/>
      </w:divBdr>
    </w:div>
    <w:div w:id="357895539">
      <w:bodyDiv w:val="1"/>
      <w:marLeft w:val="0"/>
      <w:marRight w:val="0"/>
      <w:marTop w:val="0"/>
      <w:marBottom w:val="0"/>
      <w:divBdr>
        <w:top w:val="none" w:sz="0" w:space="0" w:color="auto"/>
        <w:left w:val="none" w:sz="0" w:space="0" w:color="auto"/>
        <w:bottom w:val="none" w:sz="0" w:space="0" w:color="auto"/>
        <w:right w:val="none" w:sz="0" w:space="0" w:color="auto"/>
      </w:divBdr>
    </w:div>
    <w:div w:id="395979205">
      <w:bodyDiv w:val="1"/>
      <w:marLeft w:val="0"/>
      <w:marRight w:val="0"/>
      <w:marTop w:val="0"/>
      <w:marBottom w:val="0"/>
      <w:divBdr>
        <w:top w:val="none" w:sz="0" w:space="0" w:color="auto"/>
        <w:left w:val="none" w:sz="0" w:space="0" w:color="auto"/>
        <w:bottom w:val="none" w:sz="0" w:space="0" w:color="auto"/>
        <w:right w:val="none" w:sz="0" w:space="0" w:color="auto"/>
      </w:divBdr>
    </w:div>
    <w:div w:id="460540886">
      <w:bodyDiv w:val="1"/>
      <w:marLeft w:val="0"/>
      <w:marRight w:val="0"/>
      <w:marTop w:val="0"/>
      <w:marBottom w:val="0"/>
      <w:divBdr>
        <w:top w:val="none" w:sz="0" w:space="0" w:color="auto"/>
        <w:left w:val="none" w:sz="0" w:space="0" w:color="auto"/>
        <w:bottom w:val="none" w:sz="0" w:space="0" w:color="auto"/>
        <w:right w:val="none" w:sz="0" w:space="0" w:color="auto"/>
      </w:divBdr>
    </w:div>
    <w:div w:id="666784563">
      <w:bodyDiv w:val="1"/>
      <w:marLeft w:val="0"/>
      <w:marRight w:val="0"/>
      <w:marTop w:val="0"/>
      <w:marBottom w:val="0"/>
      <w:divBdr>
        <w:top w:val="none" w:sz="0" w:space="0" w:color="auto"/>
        <w:left w:val="none" w:sz="0" w:space="0" w:color="auto"/>
        <w:bottom w:val="none" w:sz="0" w:space="0" w:color="auto"/>
        <w:right w:val="none" w:sz="0" w:space="0" w:color="auto"/>
      </w:divBdr>
    </w:div>
    <w:div w:id="866215215">
      <w:bodyDiv w:val="1"/>
      <w:marLeft w:val="0"/>
      <w:marRight w:val="0"/>
      <w:marTop w:val="0"/>
      <w:marBottom w:val="0"/>
      <w:divBdr>
        <w:top w:val="none" w:sz="0" w:space="0" w:color="auto"/>
        <w:left w:val="none" w:sz="0" w:space="0" w:color="auto"/>
        <w:bottom w:val="none" w:sz="0" w:space="0" w:color="auto"/>
        <w:right w:val="none" w:sz="0" w:space="0" w:color="auto"/>
      </w:divBdr>
    </w:div>
    <w:div w:id="970786791">
      <w:bodyDiv w:val="1"/>
      <w:marLeft w:val="0"/>
      <w:marRight w:val="0"/>
      <w:marTop w:val="0"/>
      <w:marBottom w:val="0"/>
      <w:divBdr>
        <w:top w:val="none" w:sz="0" w:space="0" w:color="auto"/>
        <w:left w:val="none" w:sz="0" w:space="0" w:color="auto"/>
        <w:bottom w:val="none" w:sz="0" w:space="0" w:color="auto"/>
        <w:right w:val="none" w:sz="0" w:space="0" w:color="auto"/>
      </w:divBdr>
    </w:div>
    <w:div w:id="1190532546">
      <w:bodyDiv w:val="1"/>
      <w:marLeft w:val="0"/>
      <w:marRight w:val="0"/>
      <w:marTop w:val="0"/>
      <w:marBottom w:val="0"/>
      <w:divBdr>
        <w:top w:val="none" w:sz="0" w:space="0" w:color="auto"/>
        <w:left w:val="none" w:sz="0" w:space="0" w:color="auto"/>
        <w:bottom w:val="none" w:sz="0" w:space="0" w:color="auto"/>
        <w:right w:val="none" w:sz="0" w:space="0" w:color="auto"/>
      </w:divBdr>
    </w:div>
    <w:div w:id="1244611339">
      <w:bodyDiv w:val="1"/>
      <w:marLeft w:val="0"/>
      <w:marRight w:val="0"/>
      <w:marTop w:val="0"/>
      <w:marBottom w:val="0"/>
      <w:divBdr>
        <w:top w:val="none" w:sz="0" w:space="0" w:color="auto"/>
        <w:left w:val="none" w:sz="0" w:space="0" w:color="auto"/>
        <w:bottom w:val="none" w:sz="0" w:space="0" w:color="auto"/>
        <w:right w:val="none" w:sz="0" w:space="0" w:color="auto"/>
      </w:divBdr>
    </w:div>
    <w:div w:id="1265265809">
      <w:bodyDiv w:val="1"/>
      <w:marLeft w:val="0"/>
      <w:marRight w:val="0"/>
      <w:marTop w:val="0"/>
      <w:marBottom w:val="0"/>
      <w:divBdr>
        <w:top w:val="none" w:sz="0" w:space="0" w:color="auto"/>
        <w:left w:val="none" w:sz="0" w:space="0" w:color="auto"/>
        <w:bottom w:val="none" w:sz="0" w:space="0" w:color="auto"/>
        <w:right w:val="none" w:sz="0" w:space="0" w:color="auto"/>
      </w:divBdr>
    </w:div>
    <w:div w:id="1494301281">
      <w:bodyDiv w:val="1"/>
      <w:marLeft w:val="0"/>
      <w:marRight w:val="0"/>
      <w:marTop w:val="0"/>
      <w:marBottom w:val="0"/>
      <w:divBdr>
        <w:top w:val="none" w:sz="0" w:space="0" w:color="auto"/>
        <w:left w:val="none" w:sz="0" w:space="0" w:color="auto"/>
        <w:bottom w:val="none" w:sz="0" w:space="0" w:color="auto"/>
        <w:right w:val="none" w:sz="0" w:space="0" w:color="auto"/>
      </w:divBdr>
    </w:div>
    <w:div w:id="1563981558">
      <w:bodyDiv w:val="1"/>
      <w:marLeft w:val="0"/>
      <w:marRight w:val="0"/>
      <w:marTop w:val="0"/>
      <w:marBottom w:val="0"/>
      <w:divBdr>
        <w:top w:val="none" w:sz="0" w:space="0" w:color="auto"/>
        <w:left w:val="none" w:sz="0" w:space="0" w:color="auto"/>
        <w:bottom w:val="none" w:sz="0" w:space="0" w:color="auto"/>
        <w:right w:val="none" w:sz="0" w:space="0" w:color="auto"/>
      </w:divBdr>
    </w:div>
    <w:div w:id="1647398140">
      <w:bodyDiv w:val="1"/>
      <w:marLeft w:val="0"/>
      <w:marRight w:val="0"/>
      <w:marTop w:val="0"/>
      <w:marBottom w:val="0"/>
      <w:divBdr>
        <w:top w:val="none" w:sz="0" w:space="0" w:color="auto"/>
        <w:left w:val="none" w:sz="0" w:space="0" w:color="auto"/>
        <w:bottom w:val="none" w:sz="0" w:space="0" w:color="auto"/>
        <w:right w:val="none" w:sz="0" w:space="0" w:color="auto"/>
      </w:divBdr>
    </w:div>
    <w:div w:id="1702046355">
      <w:bodyDiv w:val="1"/>
      <w:marLeft w:val="0"/>
      <w:marRight w:val="0"/>
      <w:marTop w:val="0"/>
      <w:marBottom w:val="0"/>
      <w:divBdr>
        <w:top w:val="none" w:sz="0" w:space="0" w:color="auto"/>
        <w:left w:val="none" w:sz="0" w:space="0" w:color="auto"/>
        <w:bottom w:val="none" w:sz="0" w:space="0" w:color="auto"/>
        <w:right w:val="none" w:sz="0" w:space="0" w:color="auto"/>
      </w:divBdr>
    </w:div>
    <w:div w:id="1815952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file:///E:\ISTAT\Editing%20report\Statistica%20report%20economia%20e%20ambiente\Economia%20e%20ambiente_FIGURE_20221220.xlsx!Figura%204%20-%20flussi%20di%20materia!%5bEconomia%20e%20ambiente_FIGURE_20221220.xlsx%5dFigura%204%20-%20flussi%20di%20materia%20Grafico%203"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chart" Target="charts/chart1.xml"/><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oleObject" Target="file:///E:\ISTAT\Editing%20report\Statistica%20report%20economia%20e%20ambiente\Economia%20e%20ambiente_FIGURE%20modificato.xlsx!Figura%203%20-%20emissioni!%5bEconomia%20e%20ambiente_FIGURE%20modificato.xlsx%5dFigura%203%20-%20emissioni%20Grafico%201" TargetMode="External"/><Relationship Id="rId20" Type="http://schemas.openxmlformats.org/officeDocument/2006/relationships/oleObject" Target="file:///E:\ISTAT\Editing%20report\Statistica%20report%20economia%20e%20ambiente\Economia%20e%20ambiente_FIGURE_20221220.xlsx!Figura%204%20-%20flussi%20di%20materia!%5bEconomia%20e%20ambiente_FIGURE_20221220.xlsx%5dFigura%204%20-%20flussi%20di%20materia%20Grafico%201"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hyperlink" Target="mailto:tudini@istat.it" TargetMode="External"/><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hyperlink" Target="mailto:femia@istat.it" TargetMode="External"/><Relationship Id="rId30" Type="http://schemas.openxmlformats.org/officeDocument/2006/relationships/fontTable" Target="fontTable.xml"/><Relationship Id="rId35" Type="http://schemas.microsoft.com/office/2018/08/relationships/commentsExtensible" Target="commentsExtensible.xml"/><Relationship Id="rId8" Type="http://schemas.openxmlformats.org/officeDocument/2006/relationships/footer" Target="footer1.xml"/></Relationships>
</file>

<file path=word/_rels/foot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ufficiostampa@istat.it" TargetMode="External"/><Relationship Id="rId1" Type="http://schemas.openxmlformats.org/officeDocument/2006/relationships/hyperlink" Target="mailto:ufficiostampa@istat.it"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emf"/></Relationships>
</file>

<file path=word/_rels/footer5.xml.rels><?xml version="1.0" encoding="UTF-8" standalone="yes"?>
<Relationships xmlns="http://schemas.openxmlformats.org/package/2006/relationships"><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IT/TXT/HTML/?uri=CELEX:32015R2174&amp;from=IT" TargetMode="External"/><Relationship Id="rId7" Type="http://schemas.openxmlformats.org/officeDocument/2006/relationships/hyperlink" Target="https://eur-lex.europa.eu/legal-content/IT/TXT/HTML/?uri=CELEX:32015R2174&amp;from=IT" TargetMode="External"/><Relationship Id="rId2" Type="http://schemas.openxmlformats.org/officeDocument/2006/relationships/hyperlink" Target="https://eur-lex.europa.eu/legal-content/IT/TXT/HTML/?uri=CELEX:32015R2174&amp;from=IT" TargetMode="External"/><Relationship Id="rId1" Type="http://schemas.openxmlformats.org/officeDocument/2006/relationships/hyperlink" Target="https://eur-lex.europa.eu/legal-content/IT/TXT/HTML/?uri=CELEX:32015R2174&amp;from=IT" TargetMode="External"/><Relationship Id="rId6" Type="http://schemas.openxmlformats.org/officeDocument/2006/relationships/hyperlink" Target="https://eur-lex.europa.eu/legal-content/IT/TXT/HTML/?uri=CELEX:32015R2174&amp;from=IT" TargetMode="External"/><Relationship Id="rId5" Type="http://schemas.openxmlformats.org/officeDocument/2006/relationships/hyperlink" Target="https://eur-lex.europa.eu/legal-content/IT/TXT/HTML/?uri=CELEX:32015R2174&amp;from=IT" TargetMode="External"/><Relationship Id="rId4" Type="http://schemas.openxmlformats.org/officeDocument/2006/relationships/hyperlink" Target="https://eur-lex.europa.eu/legal-content/IT/TXT/HTML/?uri=CELEX:32015R2174&amp;from=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D:\ISTAT\Editing%20report\Statistica%20report%20economia%20e%20ambiente\Economia%20e%20ambiente_FIGUR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63460317460318"/>
          <c:y val="6.9543518518518518E-2"/>
          <c:w val="0.85091222222222218"/>
          <c:h val="0.83862685185185182"/>
        </c:manualLayout>
      </c:layout>
      <c:barChart>
        <c:barDir val="bar"/>
        <c:grouping val="stacked"/>
        <c:varyColors val="0"/>
        <c:ser>
          <c:idx val="0"/>
          <c:order val="0"/>
          <c:tx>
            <c:strRef>
              <c:f>'Figura 5 - imposte'!$A$3</c:f>
              <c:strCache>
                <c:ptCount val="1"/>
                <c:pt idx="0">
                  <c:v>Famiglie</c:v>
                </c:pt>
              </c:strCache>
            </c:strRef>
          </c:tx>
          <c:spPr>
            <a:solidFill>
              <a:srgbClr val="003B5C"/>
            </a:solidFill>
            <a:ln>
              <a:noFill/>
            </a:ln>
            <a:effectLst/>
          </c:spPr>
          <c:invertIfNegative val="0"/>
          <c:cat>
            <c:multiLvlStrRef>
              <c:f>('Figura 5 - imposte'!$B$1:$D$2,'Figura 5 - imposte'!$F$1:$H$2)</c:f>
              <c:multiLvlStrCache>
                <c:ptCount val="6"/>
                <c:lvl>
                  <c:pt idx="0">
                    <c:v>Energia</c:v>
                  </c:pt>
                  <c:pt idx="1">
                    <c:v>Trasporto</c:v>
                  </c:pt>
                  <c:pt idx="2">
                    <c:v>Inquinamento</c:v>
                  </c:pt>
                  <c:pt idx="3">
                    <c:v>Energia</c:v>
                  </c:pt>
                  <c:pt idx="4">
                    <c:v>Trasporto</c:v>
                  </c:pt>
                  <c:pt idx="5">
                    <c:v>Inquinamento</c:v>
                  </c:pt>
                </c:lvl>
                <c:lvl>
                  <c:pt idx="0">
                    <c:v>2020</c:v>
                  </c:pt>
                  <c:pt idx="3">
                    <c:v>2019</c:v>
                  </c:pt>
                </c:lvl>
              </c:multiLvlStrCache>
            </c:multiLvlStrRef>
          </c:cat>
          <c:val>
            <c:numRef>
              <c:f>('Figura 5 - imposte'!$B$3:$D$3,'Figura 5 - imposte'!$F$3:$H$3)</c:f>
              <c:numCache>
                <c:formatCode>General</c:formatCode>
                <c:ptCount val="6"/>
                <c:pt idx="0">
                  <c:v>19.941087724888398</c:v>
                </c:pt>
                <c:pt idx="1">
                  <c:v>7.4197422679254794</c:v>
                </c:pt>
                <c:pt idx="2">
                  <c:v>0.314921798997785</c:v>
                </c:pt>
                <c:pt idx="3">
                  <c:v>23.584236757213301</c:v>
                </c:pt>
                <c:pt idx="4">
                  <c:v>8.0988070947813302</c:v>
                </c:pt>
                <c:pt idx="5">
                  <c:v>0.28279243398612697</c:v>
                </c:pt>
              </c:numCache>
            </c:numRef>
          </c:val>
          <c:extLst>
            <c:ext xmlns:c16="http://schemas.microsoft.com/office/drawing/2014/chart" uri="{C3380CC4-5D6E-409C-BE32-E72D297353CC}">
              <c16:uniqueId val="{00000000-B3F2-48F3-8BA2-32A6CD67628E}"/>
            </c:ext>
          </c:extLst>
        </c:ser>
        <c:ser>
          <c:idx val="1"/>
          <c:order val="1"/>
          <c:tx>
            <c:strRef>
              <c:f>'Figura 5 - imposte'!$A$4</c:f>
              <c:strCache>
                <c:ptCount val="1"/>
                <c:pt idx="0">
                  <c:v>Attività produttive</c:v>
                </c:pt>
              </c:strCache>
            </c:strRef>
          </c:tx>
          <c:spPr>
            <a:solidFill>
              <a:srgbClr val="E42618"/>
            </a:solidFill>
            <a:ln>
              <a:noFill/>
            </a:ln>
            <a:effectLst/>
          </c:spPr>
          <c:invertIfNegative val="0"/>
          <c:cat>
            <c:multiLvlStrRef>
              <c:f>('Figura 5 - imposte'!$B$1:$D$2,'Figura 5 - imposte'!$F$1:$H$2)</c:f>
              <c:multiLvlStrCache>
                <c:ptCount val="6"/>
                <c:lvl>
                  <c:pt idx="0">
                    <c:v>Energia</c:v>
                  </c:pt>
                  <c:pt idx="1">
                    <c:v>Trasporto</c:v>
                  </c:pt>
                  <c:pt idx="2">
                    <c:v>Inquinamento</c:v>
                  </c:pt>
                  <c:pt idx="3">
                    <c:v>Energia</c:v>
                  </c:pt>
                  <c:pt idx="4">
                    <c:v>Trasporto</c:v>
                  </c:pt>
                  <c:pt idx="5">
                    <c:v>Inquinamento</c:v>
                  </c:pt>
                </c:lvl>
                <c:lvl>
                  <c:pt idx="0">
                    <c:v>2020</c:v>
                  </c:pt>
                  <c:pt idx="3">
                    <c:v>2019</c:v>
                  </c:pt>
                </c:lvl>
              </c:multiLvlStrCache>
            </c:multiLvlStrRef>
          </c:cat>
          <c:val>
            <c:numRef>
              <c:f>('Figura 5 - imposte'!$B$4:$D$4,'Figura 5 - imposte'!$F$4:$H$4)</c:f>
              <c:numCache>
                <c:formatCode>General</c:formatCode>
                <c:ptCount val="6"/>
                <c:pt idx="0">
                  <c:v>19.5997195692721</c:v>
                </c:pt>
                <c:pt idx="1">
                  <c:v>2.2072577320745199</c:v>
                </c:pt>
                <c:pt idx="2">
                  <c:v>0.21591091700189199</c:v>
                </c:pt>
                <c:pt idx="3">
                  <c:v>22.345078667352002</c:v>
                </c:pt>
                <c:pt idx="4">
                  <c:v>2.5881929052186701</c:v>
                </c:pt>
                <c:pt idx="5">
                  <c:v>0.19561495098738702</c:v>
                </c:pt>
              </c:numCache>
            </c:numRef>
          </c:val>
          <c:extLst>
            <c:ext xmlns:c16="http://schemas.microsoft.com/office/drawing/2014/chart" uri="{C3380CC4-5D6E-409C-BE32-E72D297353CC}">
              <c16:uniqueId val="{00000001-B3F2-48F3-8BA2-32A6CD67628E}"/>
            </c:ext>
          </c:extLst>
        </c:ser>
        <c:ser>
          <c:idx val="2"/>
          <c:order val="2"/>
          <c:tx>
            <c:strRef>
              <c:f>'Figura 5 - imposte'!$A$5</c:f>
              <c:strCache>
                <c:ptCount val="1"/>
                <c:pt idx="0">
                  <c:v>Non residenti</c:v>
                </c:pt>
              </c:strCache>
            </c:strRef>
          </c:tx>
          <c:spPr>
            <a:solidFill>
              <a:srgbClr val="9BBB59"/>
            </a:solidFill>
            <a:ln>
              <a:noFill/>
            </a:ln>
            <a:effectLst/>
          </c:spPr>
          <c:invertIfNegative val="0"/>
          <c:cat>
            <c:multiLvlStrRef>
              <c:f>('Figura 5 - imposte'!$B$1:$D$2,'Figura 5 - imposte'!$F$1:$H$2)</c:f>
              <c:multiLvlStrCache>
                <c:ptCount val="6"/>
                <c:lvl>
                  <c:pt idx="0">
                    <c:v>Energia</c:v>
                  </c:pt>
                  <c:pt idx="1">
                    <c:v>Trasporto</c:v>
                  </c:pt>
                  <c:pt idx="2">
                    <c:v>Inquinamento</c:v>
                  </c:pt>
                  <c:pt idx="3">
                    <c:v>Energia</c:v>
                  </c:pt>
                  <c:pt idx="4">
                    <c:v>Trasporto</c:v>
                  </c:pt>
                  <c:pt idx="5">
                    <c:v>Inquinamento</c:v>
                  </c:pt>
                </c:lvl>
                <c:lvl>
                  <c:pt idx="0">
                    <c:v>2020</c:v>
                  </c:pt>
                  <c:pt idx="3">
                    <c:v>2019</c:v>
                  </c:pt>
                </c:lvl>
              </c:multiLvlStrCache>
            </c:multiLvlStrRef>
          </c:cat>
          <c:val>
            <c:numRef>
              <c:f>('Figura 5 - imposte'!$B$5:$D$5,'Figura 5 - imposte'!$F$5:$H$5)</c:f>
              <c:numCache>
                <c:formatCode>General</c:formatCode>
                <c:ptCount val="6"/>
                <c:pt idx="0">
                  <c:v>0.74019270583947294</c:v>
                </c:pt>
                <c:pt idx="1">
                  <c:v>0</c:v>
                </c:pt>
                <c:pt idx="2">
                  <c:v>5.1672840003220907E-3</c:v>
                </c:pt>
                <c:pt idx="3">
                  <c:v>1.1976845754347401</c:v>
                </c:pt>
                <c:pt idx="4">
                  <c:v>0</c:v>
                </c:pt>
                <c:pt idx="5">
                  <c:v>6.5926150264851904E-3</c:v>
                </c:pt>
              </c:numCache>
            </c:numRef>
          </c:val>
          <c:extLst>
            <c:ext xmlns:c16="http://schemas.microsoft.com/office/drawing/2014/chart" uri="{C3380CC4-5D6E-409C-BE32-E72D297353CC}">
              <c16:uniqueId val="{00000002-B3F2-48F3-8BA2-32A6CD67628E}"/>
            </c:ext>
          </c:extLst>
        </c:ser>
        <c:dLbls>
          <c:showLegendKey val="0"/>
          <c:showVal val="0"/>
          <c:showCatName val="0"/>
          <c:showSerName val="0"/>
          <c:showPercent val="0"/>
          <c:showBubbleSize val="0"/>
        </c:dLbls>
        <c:gapWidth val="65"/>
        <c:overlap val="100"/>
        <c:axId val="1557027536"/>
        <c:axId val="1557025856"/>
      </c:barChart>
      <c:catAx>
        <c:axId val="1557027536"/>
        <c:scaling>
          <c:orientation val="minMax"/>
        </c:scaling>
        <c:delete val="0"/>
        <c:axPos val="l"/>
        <c:majorGridlines>
          <c:spPr>
            <a:ln w="9525" cap="flat" cmpd="sng" algn="ctr">
              <a:solidFill>
                <a:schemeClr val="bg1"/>
              </a:solidFill>
              <a:round/>
            </a:ln>
            <a:effectLst/>
          </c:spPr>
        </c:majorGridlines>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crossAx val="1557025856"/>
        <c:crosses val="autoZero"/>
        <c:auto val="1"/>
        <c:lblAlgn val="ctr"/>
        <c:lblOffset val="100"/>
        <c:noMultiLvlLbl val="0"/>
      </c:catAx>
      <c:valAx>
        <c:axId val="1557025856"/>
        <c:scaling>
          <c:orientation val="minMax"/>
          <c:min val="0"/>
        </c:scaling>
        <c:delete val="0"/>
        <c:axPos val="b"/>
        <c:majorGridlines>
          <c:spPr>
            <a:ln w="9525" cap="flat" cmpd="sng" algn="ctr">
              <a:solidFill>
                <a:schemeClr val="bg1"/>
              </a:solidFill>
              <a:round/>
            </a:ln>
            <a:effectLst/>
          </c:spPr>
        </c:majorGridlines>
        <c:numFmt formatCode="General" sourceLinked="1"/>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endParaRPr lang="it-IT"/>
          </a:p>
        </c:txPr>
        <c:crossAx val="1557027536"/>
        <c:crosses val="autoZero"/>
        <c:crossBetween val="between"/>
      </c:valAx>
      <c:spPr>
        <a:noFill/>
        <a:ln>
          <a:noFill/>
        </a:ln>
        <a:effectLst/>
      </c:spPr>
    </c:plotArea>
    <c:legend>
      <c:legendPos val="t"/>
      <c:layout>
        <c:manualLayout>
          <c:xMode val="edge"/>
          <c:yMode val="edge"/>
          <c:x val="0.33480174603174601"/>
          <c:y val="0"/>
          <c:w val="0.33442809523809525"/>
          <c:h val="8.8014351851851858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legend>
    <c:plotVisOnly val="1"/>
    <c:dispBlanksAs val="gap"/>
    <c:showDLblsOverMax val="0"/>
  </c:chart>
  <c:spPr>
    <a:noFill/>
    <a:ln w="9525" cap="flat" cmpd="sng" algn="ctr">
      <a:noFill/>
      <a:round/>
    </a:ln>
    <a:effectLst/>
  </c:spPr>
  <c:txPr>
    <a:bodyPr/>
    <a:lstStyle/>
    <a:p>
      <a:pPr>
        <a:defRPr sz="800">
          <a:solidFill>
            <a:sysClr val="windowText" lastClr="000000"/>
          </a:solidFill>
          <a:latin typeface="Arial Narrow" panose="020B0606020202030204" pitchFamily="34" charset="0"/>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849CC-7CD5-43E9-9263-F7A003EA1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18</Pages>
  <Words>10207</Words>
  <Characters>63318</Characters>
  <Application>Microsoft Office Word</Application>
  <DocSecurity>0</DocSecurity>
  <Lines>527</Lines>
  <Paragraphs>146</Paragraphs>
  <ScaleCrop>false</ScaleCrop>
  <HeadingPairs>
    <vt:vector size="2" baseType="variant">
      <vt:variant>
        <vt:lpstr>Titolo</vt:lpstr>
      </vt:variant>
      <vt:variant>
        <vt:i4>1</vt:i4>
      </vt:variant>
    </vt:vector>
  </HeadingPairs>
  <TitlesOfParts>
    <vt:vector size="1" baseType="lpstr">
      <vt:lpstr/>
    </vt:vector>
  </TitlesOfParts>
  <Company>ISTAT</Company>
  <LinksUpToDate>false</LinksUpToDate>
  <CharactersWithSpaces>73379</CharactersWithSpaces>
  <SharedDoc>false</SharedDoc>
  <HLinks>
    <vt:vector size="18" baseType="variant">
      <vt:variant>
        <vt:i4>4456451</vt:i4>
      </vt:variant>
      <vt:variant>
        <vt:i4>3</vt:i4>
      </vt:variant>
      <vt:variant>
        <vt:i4>0</vt:i4>
      </vt:variant>
      <vt:variant>
        <vt:i4>5</vt:i4>
      </vt:variant>
      <vt:variant>
        <vt:lpwstr>http://demo.istat.it/</vt:lpwstr>
      </vt:variant>
      <vt:variant>
        <vt:lpwstr/>
      </vt:variant>
      <vt:variant>
        <vt:i4>5374032</vt:i4>
      </vt:variant>
      <vt:variant>
        <vt:i4>0</vt:i4>
      </vt:variant>
      <vt:variant>
        <vt:i4>0</vt:i4>
      </vt:variant>
      <vt:variant>
        <vt:i4>5</vt:i4>
      </vt:variant>
      <vt:variant>
        <vt:lpwstr>http://www.istat.it/it/archivio/99464</vt:lpwstr>
      </vt:variant>
      <vt:variant>
        <vt:lpwstr/>
      </vt:variant>
      <vt:variant>
        <vt:i4>2228278</vt:i4>
      </vt:variant>
      <vt:variant>
        <vt:i4>0</vt:i4>
      </vt:variant>
      <vt:variant>
        <vt:i4>0</vt:i4>
      </vt:variant>
      <vt:variant>
        <vt:i4>5</vt:i4>
      </vt:variant>
      <vt:variant>
        <vt:lpwstr>http://epp.eurostat.ec.europa.eu/portal/page/portal/population/data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Maura Simone</dc:creator>
  <cp:lastModifiedBy>Stefania Schipani</cp:lastModifiedBy>
  <cp:revision>7</cp:revision>
  <cp:lastPrinted>2022-12-19T10:15:00Z</cp:lastPrinted>
  <dcterms:created xsi:type="dcterms:W3CDTF">2022-12-19T14:24:00Z</dcterms:created>
  <dcterms:modified xsi:type="dcterms:W3CDTF">2022-12-20T14:34:00Z</dcterms:modified>
</cp:coreProperties>
</file>